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46" w:rsidRPr="00537BBB" w:rsidRDefault="000E3246" w:rsidP="000E3246">
      <w:pPr>
        <w:ind w:firstLine="0"/>
        <w:jc w:val="right"/>
        <w:rPr>
          <w:b/>
          <w:color w:val="000000" w:themeColor="text1"/>
          <w:sz w:val="22"/>
          <w:szCs w:val="30"/>
        </w:rPr>
      </w:pPr>
      <w:r w:rsidRPr="00537BBB">
        <w:rPr>
          <w:rFonts w:hint="eastAsia"/>
          <w:b/>
          <w:color w:val="000000" w:themeColor="text1"/>
          <w:sz w:val="22"/>
          <w:szCs w:val="30"/>
        </w:rPr>
        <w:t>版本：</w:t>
      </w:r>
      <w:r w:rsidRPr="00537BBB">
        <w:rPr>
          <w:rFonts w:hint="eastAsia"/>
          <w:b/>
          <w:color w:val="000000" w:themeColor="text1"/>
          <w:sz w:val="22"/>
          <w:szCs w:val="30"/>
        </w:rPr>
        <w:t>2021</w:t>
      </w:r>
      <w:r w:rsidRPr="00537BBB">
        <w:rPr>
          <w:rFonts w:hint="eastAsia"/>
          <w:b/>
          <w:color w:val="000000" w:themeColor="text1"/>
          <w:sz w:val="22"/>
          <w:szCs w:val="30"/>
        </w:rPr>
        <w:t>年</w:t>
      </w:r>
      <w:r w:rsidR="00A557E5">
        <w:rPr>
          <w:rFonts w:hint="eastAsia"/>
          <w:b/>
          <w:color w:val="000000" w:themeColor="text1"/>
          <w:sz w:val="22"/>
          <w:szCs w:val="30"/>
        </w:rPr>
        <w:t>3</w:t>
      </w:r>
      <w:r w:rsidRPr="00537BBB">
        <w:rPr>
          <w:rFonts w:hint="eastAsia"/>
          <w:b/>
          <w:color w:val="000000" w:themeColor="text1"/>
          <w:sz w:val="22"/>
          <w:szCs w:val="30"/>
        </w:rPr>
        <w:t>版</w:t>
      </w:r>
    </w:p>
    <w:p w:rsidR="00B6178C" w:rsidRDefault="00F63A99" w:rsidP="00B6178C">
      <w:pPr>
        <w:ind w:firstLine="0"/>
        <w:rPr>
          <w:b/>
          <w:sz w:val="30"/>
          <w:szCs w:val="30"/>
        </w:rPr>
      </w:pPr>
      <w:r w:rsidRPr="00537BBB">
        <w:rPr>
          <w:rFonts w:hint="eastAsia"/>
          <w:b/>
          <w:color w:val="000000" w:themeColor="text1"/>
          <w:sz w:val="30"/>
          <w:szCs w:val="30"/>
        </w:rPr>
        <w:t>监管登记编码：</w:t>
      </w:r>
      <w:r w:rsidR="00526AAA" w:rsidRPr="00831E22">
        <w:rPr>
          <w:b/>
          <w:sz w:val="30"/>
          <w:szCs w:val="30"/>
        </w:rPr>
        <w:t>C1131220000992</w:t>
      </w:r>
    </w:p>
    <w:p w:rsidR="004A6979" w:rsidRPr="00537BBB" w:rsidRDefault="004A6979" w:rsidP="00B6178C">
      <w:pPr>
        <w:ind w:firstLine="0"/>
        <w:rPr>
          <w:b/>
          <w:color w:val="000000" w:themeColor="text1"/>
          <w:sz w:val="30"/>
          <w:szCs w:val="30"/>
        </w:rPr>
      </w:pPr>
    </w:p>
    <w:p w:rsidR="004A6979" w:rsidRPr="00537BBB" w:rsidRDefault="004A6979" w:rsidP="004A6979">
      <w:pPr>
        <w:jc w:val="center"/>
        <w:rPr>
          <w:b/>
          <w:color w:val="000000" w:themeColor="text1"/>
          <w:sz w:val="72"/>
          <w:szCs w:val="72"/>
        </w:rPr>
      </w:pPr>
      <w:r w:rsidRPr="00537BBB">
        <w:rPr>
          <w:rFonts w:hint="eastAsia"/>
          <w:b/>
          <w:color w:val="000000" w:themeColor="text1"/>
          <w:sz w:val="72"/>
          <w:szCs w:val="72"/>
        </w:rPr>
        <w:t>广州农村商业银行</w:t>
      </w:r>
    </w:p>
    <w:p w:rsidR="004A6979" w:rsidRPr="00537BBB" w:rsidRDefault="004A6979" w:rsidP="004A6979">
      <w:pPr>
        <w:jc w:val="center"/>
        <w:rPr>
          <w:b/>
          <w:color w:val="000000" w:themeColor="text1"/>
          <w:sz w:val="30"/>
          <w:szCs w:val="30"/>
        </w:rPr>
      </w:pPr>
    </w:p>
    <w:p w:rsidR="004A6979" w:rsidRPr="00537BBB" w:rsidRDefault="004A6979" w:rsidP="004A6979">
      <w:pPr>
        <w:jc w:val="center"/>
        <w:rPr>
          <w:b/>
          <w:color w:val="000000" w:themeColor="text1"/>
          <w:sz w:val="30"/>
          <w:szCs w:val="30"/>
        </w:rPr>
      </w:pPr>
    </w:p>
    <w:p w:rsidR="004A6979" w:rsidRPr="00537BBB" w:rsidRDefault="004A6979" w:rsidP="004A6979">
      <w:pPr>
        <w:jc w:val="center"/>
        <w:rPr>
          <w:b/>
          <w:color w:val="000000" w:themeColor="text1"/>
          <w:sz w:val="30"/>
          <w:szCs w:val="30"/>
        </w:rPr>
      </w:pPr>
    </w:p>
    <w:p w:rsidR="004A6979" w:rsidRPr="00537BBB" w:rsidRDefault="004A6979" w:rsidP="006C45F6">
      <w:pPr>
        <w:jc w:val="center"/>
        <w:rPr>
          <w:b/>
          <w:color w:val="000000" w:themeColor="text1"/>
          <w:sz w:val="44"/>
          <w:szCs w:val="44"/>
        </w:rPr>
      </w:pPr>
      <w:r w:rsidRPr="00537BBB">
        <w:rPr>
          <w:rFonts w:hint="eastAsia"/>
          <w:b/>
          <w:color w:val="000000" w:themeColor="text1"/>
          <w:sz w:val="44"/>
          <w:szCs w:val="44"/>
        </w:rPr>
        <w:t>“</w:t>
      </w:r>
      <w:r w:rsidR="004B6A31">
        <w:rPr>
          <w:rFonts w:hint="eastAsia"/>
          <w:b/>
          <w:color w:val="000000" w:themeColor="text1"/>
          <w:sz w:val="44"/>
          <w:szCs w:val="44"/>
        </w:rPr>
        <w:t>金米嘉富</w:t>
      </w:r>
      <w:r w:rsidR="00526AAA">
        <w:rPr>
          <w:rFonts w:hint="eastAsia"/>
          <w:b/>
          <w:color w:val="000000" w:themeColor="text1"/>
          <w:sz w:val="44"/>
          <w:szCs w:val="44"/>
        </w:rPr>
        <w:t>6</w:t>
      </w:r>
      <w:r w:rsidR="00526AAA">
        <w:rPr>
          <w:rFonts w:hint="eastAsia"/>
          <w:b/>
          <w:color w:val="000000" w:themeColor="text1"/>
          <w:sz w:val="44"/>
          <w:szCs w:val="44"/>
        </w:rPr>
        <w:t>个月定开</w:t>
      </w:r>
      <w:r w:rsidR="00526AAA">
        <w:rPr>
          <w:rFonts w:hint="eastAsia"/>
          <w:b/>
          <w:color w:val="000000" w:themeColor="text1"/>
          <w:sz w:val="44"/>
          <w:szCs w:val="44"/>
        </w:rPr>
        <w:t>22</w:t>
      </w:r>
      <w:r w:rsidR="00526AAA">
        <w:rPr>
          <w:rFonts w:hint="eastAsia"/>
          <w:b/>
          <w:color w:val="000000" w:themeColor="text1"/>
          <w:sz w:val="44"/>
          <w:szCs w:val="44"/>
        </w:rPr>
        <w:t>号</w:t>
      </w:r>
      <w:r w:rsidRPr="00537BBB">
        <w:rPr>
          <w:rFonts w:hint="eastAsia"/>
          <w:b/>
          <w:color w:val="000000" w:themeColor="text1"/>
          <w:sz w:val="44"/>
          <w:szCs w:val="44"/>
        </w:rPr>
        <w:t>”</w:t>
      </w:r>
    </w:p>
    <w:p w:rsidR="004A6979" w:rsidRPr="00537BBB" w:rsidRDefault="004A6979" w:rsidP="004A6979">
      <w:pPr>
        <w:jc w:val="center"/>
        <w:rPr>
          <w:b/>
          <w:color w:val="000000" w:themeColor="text1"/>
          <w:sz w:val="44"/>
          <w:szCs w:val="44"/>
        </w:rPr>
      </w:pPr>
      <w:r w:rsidRPr="00537BBB">
        <w:rPr>
          <w:rFonts w:hint="eastAsia"/>
          <w:b/>
          <w:color w:val="000000" w:themeColor="text1"/>
          <w:sz w:val="44"/>
          <w:szCs w:val="44"/>
        </w:rPr>
        <w:t>人民币理财产品</w:t>
      </w:r>
    </w:p>
    <w:p w:rsidR="004A6979" w:rsidRPr="00537BBB" w:rsidRDefault="004A6979" w:rsidP="004A6979">
      <w:pPr>
        <w:jc w:val="center"/>
        <w:rPr>
          <w:b/>
          <w:color w:val="000000" w:themeColor="text1"/>
          <w:sz w:val="44"/>
          <w:szCs w:val="44"/>
        </w:rPr>
      </w:pPr>
    </w:p>
    <w:p w:rsidR="004A6979" w:rsidRPr="00537BBB" w:rsidRDefault="004A6979" w:rsidP="004A6979">
      <w:pPr>
        <w:jc w:val="center"/>
        <w:rPr>
          <w:b/>
          <w:color w:val="000000" w:themeColor="text1"/>
          <w:sz w:val="44"/>
          <w:szCs w:val="44"/>
        </w:rPr>
      </w:pPr>
      <w:r w:rsidRPr="00537BBB">
        <w:rPr>
          <w:rFonts w:hint="eastAsia"/>
          <w:b/>
          <w:color w:val="000000" w:themeColor="text1"/>
          <w:sz w:val="44"/>
          <w:szCs w:val="44"/>
        </w:rPr>
        <w:t>产品说明书</w:t>
      </w:r>
    </w:p>
    <w:p w:rsidR="004A6979" w:rsidRPr="00537BBB" w:rsidRDefault="004A6979" w:rsidP="004A6979">
      <w:pPr>
        <w:jc w:val="center"/>
        <w:rPr>
          <w:b/>
          <w:color w:val="000000" w:themeColor="text1"/>
          <w:sz w:val="44"/>
          <w:szCs w:val="44"/>
        </w:rPr>
      </w:pPr>
    </w:p>
    <w:p w:rsidR="004A6979" w:rsidRPr="00537BBB" w:rsidRDefault="004A6979" w:rsidP="004A6979">
      <w:pPr>
        <w:jc w:val="center"/>
        <w:rPr>
          <w:b/>
          <w:color w:val="000000" w:themeColor="text1"/>
          <w:sz w:val="44"/>
          <w:szCs w:val="44"/>
        </w:rPr>
      </w:pPr>
    </w:p>
    <w:p w:rsidR="004A6979" w:rsidRPr="00537BBB" w:rsidRDefault="004A6979" w:rsidP="004A6979">
      <w:pPr>
        <w:jc w:val="center"/>
        <w:rPr>
          <w:b/>
          <w:color w:val="000000" w:themeColor="text1"/>
          <w:sz w:val="44"/>
          <w:szCs w:val="44"/>
        </w:rPr>
      </w:pPr>
    </w:p>
    <w:p w:rsidR="004A6979" w:rsidRPr="00537BBB" w:rsidRDefault="004A6979" w:rsidP="004A6979">
      <w:pPr>
        <w:jc w:val="center"/>
        <w:rPr>
          <w:b/>
          <w:color w:val="000000" w:themeColor="text1"/>
          <w:sz w:val="44"/>
          <w:szCs w:val="44"/>
        </w:rPr>
      </w:pPr>
    </w:p>
    <w:p w:rsidR="004A6979" w:rsidRPr="00537BBB" w:rsidRDefault="004A6979" w:rsidP="004A6979">
      <w:pPr>
        <w:jc w:val="center"/>
        <w:rPr>
          <w:b/>
          <w:color w:val="000000" w:themeColor="text1"/>
          <w:sz w:val="44"/>
          <w:szCs w:val="44"/>
        </w:rPr>
      </w:pPr>
    </w:p>
    <w:p w:rsidR="002A662B" w:rsidRPr="00537BBB" w:rsidRDefault="002A662B" w:rsidP="004A6979">
      <w:pPr>
        <w:jc w:val="center"/>
        <w:rPr>
          <w:b/>
          <w:color w:val="000000" w:themeColor="text1"/>
          <w:sz w:val="44"/>
          <w:szCs w:val="44"/>
        </w:rPr>
      </w:pPr>
    </w:p>
    <w:p w:rsidR="002A662B" w:rsidRPr="00537BBB" w:rsidRDefault="002A662B" w:rsidP="004A6979">
      <w:pPr>
        <w:jc w:val="center"/>
        <w:rPr>
          <w:b/>
          <w:color w:val="000000" w:themeColor="text1"/>
          <w:sz w:val="44"/>
          <w:szCs w:val="44"/>
        </w:rPr>
      </w:pPr>
    </w:p>
    <w:p w:rsidR="004A6979" w:rsidRPr="00537BBB" w:rsidRDefault="004A6979" w:rsidP="004A6979">
      <w:pPr>
        <w:jc w:val="center"/>
        <w:rPr>
          <w:b/>
          <w:color w:val="000000" w:themeColor="text1"/>
          <w:sz w:val="44"/>
          <w:szCs w:val="44"/>
        </w:rPr>
      </w:pPr>
    </w:p>
    <w:p w:rsidR="0059470B" w:rsidRPr="00537BBB" w:rsidRDefault="0059470B" w:rsidP="004A6979">
      <w:pPr>
        <w:jc w:val="center"/>
        <w:rPr>
          <w:b/>
          <w:color w:val="000000" w:themeColor="text1"/>
          <w:sz w:val="44"/>
          <w:szCs w:val="44"/>
        </w:rPr>
      </w:pPr>
    </w:p>
    <w:p w:rsidR="004A6979" w:rsidRPr="00537BBB" w:rsidRDefault="004A6979" w:rsidP="004A6979">
      <w:pPr>
        <w:jc w:val="center"/>
        <w:rPr>
          <w:b/>
          <w:color w:val="000000" w:themeColor="text1"/>
          <w:sz w:val="44"/>
          <w:szCs w:val="44"/>
        </w:rPr>
      </w:pPr>
    </w:p>
    <w:p w:rsidR="004A6979" w:rsidRPr="00537BBB" w:rsidRDefault="00C073A8" w:rsidP="004A6979">
      <w:pPr>
        <w:jc w:val="center"/>
        <w:rPr>
          <w:b/>
          <w:color w:val="000000" w:themeColor="text1"/>
          <w:sz w:val="44"/>
          <w:szCs w:val="44"/>
        </w:rPr>
      </w:pPr>
      <w:r w:rsidRPr="00537BBB">
        <w:rPr>
          <w:rFonts w:hint="eastAsia"/>
          <w:b/>
          <w:color w:val="000000" w:themeColor="text1"/>
          <w:sz w:val="44"/>
          <w:szCs w:val="44"/>
        </w:rPr>
        <w:t>20</w:t>
      </w:r>
      <w:r w:rsidR="00F63A99" w:rsidRPr="00537BBB">
        <w:rPr>
          <w:rFonts w:hint="eastAsia"/>
          <w:b/>
          <w:color w:val="000000" w:themeColor="text1"/>
          <w:sz w:val="44"/>
          <w:szCs w:val="44"/>
        </w:rPr>
        <w:t>2</w:t>
      </w:r>
      <w:r w:rsidR="00A82D04" w:rsidRPr="00537BBB">
        <w:rPr>
          <w:rFonts w:hint="eastAsia"/>
          <w:b/>
          <w:color w:val="000000" w:themeColor="text1"/>
          <w:sz w:val="44"/>
          <w:szCs w:val="44"/>
        </w:rPr>
        <w:t>1</w:t>
      </w:r>
      <w:r w:rsidR="004A6979" w:rsidRPr="00537BBB">
        <w:rPr>
          <w:rFonts w:hint="eastAsia"/>
          <w:b/>
          <w:color w:val="000000" w:themeColor="text1"/>
          <w:sz w:val="44"/>
          <w:szCs w:val="44"/>
        </w:rPr>
        <w:t>年</w:t>
      </w:r>
    </w:p>
    <w:p w:rsidR="004A6979" w:rsidRPr="00537BBB" w:rsidRDefault="004A6979" w:rsidP="004A3D40">
      <w:pPr>
        <w:ind w:firstLine="643"/>
        <w:jc w:val="center"/>
        <w:rPr>
          <w:rFonts w:ascii="宋体" w:hAnsi="宋体"/>
          <w:color w:val="000000" w:themeColor="text1"/>
          <w:szCs w:val="21"/>
        </w:rPr>
      </w:pPr>
    </w:p>
    <w:p w:rsidR="00A16EEF" w:rsidRPr="00537BBB" w:rsidRDefault="00A16EEF" w:rsidP="004A3D40">
      <w:pPr>
        <w:ind w:firstLine="643"/>
        <w:jc w:val="center"/>
        <w:rPr>
          <w:rFonts w:ascii="宋体" w:hAnsi="宋体"/>
          <w:b/>
          <w:color w:val="000000" w:themeColor="text1"/>
          <w:szCs w:val="21"/>
        </w:rPr>
      </w:pPr>
      <w:r w:rsidRPr="00537BBB">
        <w:rPr>
          <w:rFonts w:ascii="宋体" w:hAnsi="宋体" w:hint="eastAsia"/>
          <w:b/>
          <w:color w:val="000000" w:themeColor="text1"/>
          <w:szCs w:val="21"/>
        </w:rPr>
        <w:t>广州农村商业银行“</w:t>
      </w:r>
      <w:r w:rsidR="004B6A31">
        <w:rPr>
          <w:rFonts w:ascii="宋体" w:hAnsi="宋体" w:hint="eastAsia"/>
          <w:b/>
          <w:color w:val="000000" w:themeColor="text1"/>
          <w:szCs w:val="21"/>
        </w:rPr>
        <w:t>金米嘉富</w:t>
      </w:r>
      <w:r w:rsidR="00526AAA">
        <w:rPr>
          <w:rFonts w:ascii="宋体" w:hAnsi="宋体" w:hint="eastAsia"/>
          <w:b/>
          <w:color w:val="000000" w:themeColor="text1"/>
          <w:szCs w:val="21"/>
        </w:rPr>
        <w:t>6个月定开22号</w:t>
      </w:r>
      <w:r w:rsidRPr="00537BBB">
        <w:rPr>
          <w:rFonts w:ascii="宋体" w:hAnsi="宋体" w:hint="eastAsia"/>
          <w:b/>
          <w:color w:val="000000" w:themeColor="text1"/>
          <w:szCs w:val="21"/>
        </w:rPr>
        <w:t>”人民币理财产品</w:t>
      </w:r>
    </w:p>
    <w:p w:rsidR="006520C1" w:rsidRPr="00537BBB" w:rsidRDefault="006520C1" w:rsidP="004A3D40">
      <w:pPr>
        <w:ind w:firstLine="643"/>
        <w:jc w:val="center"/>
        <w:rPr>
          <w:rFonts w:ascii="宋体" w:hAnsi="宋体"/>
          <w:b/>
          <w:color w:val="000000" w:themeColor="text1"/>
          <w:szCs w:val="21"/>
        </w:rPr>
      </w:pPr>
    </w:p>
    <w:p w:rsidR="00B37D2D" w:rsidRPr="00537BBB" w:rsidRDefault="00B37D2D" w:rsidP="00B37D2D">
      <w:pPr>
        <w:ind w:firstLine="643"/>
        <w:jc w:val="center"/>
        <w:rPr>
          <w:rFonts w:ascii="宋体" w:hAnsi="宋体"/>
          <w:color w:val="000000" w:themeColor="text1"/>
          <w:szCs w:val="21"/>
        </w:rPr>
      </w:pPr>
      <w:r w:rsidRPr="00537BBB">
        <w:rPr>
          <w:rFonts w:ascii="宋体" w:hAnsi="宋体" w:hint="eastAsia"/>
          <w:b/>
          <w:color w:val="000000" w:themeColor="text1"/>
          <w:szCs w:val="21"/>
        </w:rPr>
        <w:t>风险揭示书</w:t>
      </w:r>
    </w:p>
    <w:p w:rsidR="00B37D2D" w:rsidRPr="00537BBB" w:rsidRDefault="00B37D2D" w:rsidP="00B37D2D">
      <w:pPr>
        <w:spacing w:line="276" w:lineRule="auto"/>
        <w:ind w:firstLine="0"/>
        <w:rPr>
          <w:rFonts w:ascii="宋体" w:hAnsi="宋体"/>
          <w:color w:val="000000" w:themeColor="text1"/>
          <w:sz w:val="24"/>
          <w:szCs w:val="24"/>
        </w:rPr>
      </w:pPr>
      <w:r w:rsidRPr="00537BBB">
        <w:rPr>
          <w:rFonts w:ascii="宋体" w:hAnsi="宋体" w:hint="eastAsia"/>
          <w:color w:val="000000" w:themeColor="text1"/>
          <w:sz w:val="24"/>
          <w:szCs w:val="24"/>
        </w:rPr>
        <w:t>尊敬的客户：</w:t>
      </w:r>
    </w:p>
    <w:p w:rsidR="00B37D2D" w:rsidRPr="00537BBB" w:rsidRDefault="00B37D2D" w:rsidP="00B37D2D">
      <w:pPr>
        <w:spacing w:line="276" w:lineRule="auto"/>
        <w:ind w:firstLine="480"/>
        <w:rPr>
          <w:rFonts w:ascii="宋体" w:hAnsi="宋体"/>
          <w:color w:val="000000" w:themeColor="text1"/>
          <w:sz w:val="24"/>
          <w:szCs w:val="24"/>
        </w:rPr>
      </w:pPr>
      <w:r w:rsidRPr="00537BBB">
        <w:rPr>
          <w:rFonts w:ascii="宋体" w:hAnsi="宋体" w:hint="eastAsia"/>
          <w:color w:val="000000" w:themeColor="text1"/>
          <w:sz w:val="24"/>
          <w:szCs w:val="24"/>
        </w:rPr>
        <w:t>由于理财产品管理过程中，可能会面临多种风险因素，因此，根据中国银行保险监督管理委员会相关监管规定的要求，在您选择购买该理财产品前，请仔细阅读以下重要内容。</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本产品为无固定期限开放式净值型产品，产品风险等级、风险评级说明以及适合购买的客户类型请详见产品说明书及客户权益须知，请客户购买产品前详细阅读产品销售文本的条款及内容。如影响您风险承受能力的因素发生变化，请及时完成风险承受能力评估。</w:t>
      </w:r>
    </w:p>
    <w:p w:rsidR="00B37D2D" w:rsidRPr="00537BBB" w:rsidRDefault="00B37D2D" w:rsidP="00B37D2D">
      <w:pPr>
        <w:spacing w:line="276" w:lineRule="auto"/>
        <w:ind w:firstLineChars="200" w:firstLine="562"/>
        <w:rPr>
          <w:rFonts w:ascii="宋体" w:hAnsi="宋体"/>
          <w:color w:val="000000" w:themeColor="text1"/>
          <w:sz w:val="24"/>
          <w:szCs w:val="24"/>
        </w:rPr>
      </w:pPr>
      <w:r w:rsidRPr="00537BBB">
        <w:rPr>
          <w:rFonts w:ascii="宋体" w:hAnsi="宋体" w:hint="eastAsia"/>
          <w:b/>
          <w:color w:val="000000" w:themeColor="text1"/>
          <w:sz w:val="28"/>
          <w:szCs w:val="24"/>
        </w:rPr>
        <w:t>理财非存款，产品有风险，投资须谨慎。</w:t>
      </w:r>
      <w:r w:rsidRPr="00537BBB">
        <w:rPr>
          <w:rFonts w:ascii="宋体" w:hAnsi="宋体" w:hint="eastAsia"/>
          <w:color w:val="000000" w:themeColor="text1"/>
          <w:sz w:val="24"/>
          <w:szCs w:val="24"/>
        </w:rPr>
        <w:t>本产品有投资风险，不保障理财资金本金，不保证理财收益，在最不利投资情形下,</w:t>
      </w:r>
      <w:r w:rsidRPr="00537BBB">
        <w:rPr>
          <w:rFonts w:ascii="宋体" w:hAnsi="宋体" w:hint="eastAsia"/>
          <w:noProof/>
          <w:color w:val="000000" w:themeColor="text1"/>
          <w:sz w:val="24"/>
          <w:szCs w:val="24"/>
        </w:rPr>
        <w:t>本产品的本金及收益可能遭受损失</w:t>
      </w:r>
      <w:r w:rsidRPr="00537BBB">
        <w:rPr>
          <w:rFonts w:ascii="宋体" w:hAnsi="宋体" w:hint="eastAsia"/>
          <w:color w:val="000000" w:themeColor="text1"/>
          <w:sz w:val="24"/>
          <w:szCs w:val="24"/>
        </w:rPr>
        <w:t>。例如，若投资者购买100万元本理财产品，在最不利情况下，有可能损失部分本金。</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您应当充分认识投资风险，谨慎投资。投资者购买本期理财产品可能面临以下风险并自愿承担：</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 1、政策风险：本产品是针对当前法律法规、相关监管规定和政策设计的。如国家宏观政策以及市场法律法规、相关监管规定发生变化，可能影响产品的受理、投资运作、清算等业务的正常运行，导致产品的收益降低甚至发生本金亏损，也可能导致本产品违反国家法律、法规或相关合同的规定，进而导致本产品被宣告无效、撤销、解除、延期或提前终止等。</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2、信用风险：本产品配置资产所涉及的相关债务主体到期未能履行还款义务的风险。 </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3、市场风险：本产品在实际运作过程中，由于市场的变化会造成本产品投资的资产价格发生波动，从而影响本产品的收益，客户面临本金和收益遭受损失的风险。</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4、利率风险：即因市场利率波动而带来资产价值受损。</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5、提前终止风险：投资期内若市场发生重大变动或突发性事件或其他广州农商银行认为需要提前终止本产品的情形时，广州农商银行有权提前终止本产品。在提前终止情形下，投资者面临不能按预期期限投资的风险。</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6、延迟兑付风险：理财产品投资结束，若因投资标的无法及时变现或技术系统等原因，导致无法按期分配相关利益，则客户面临理财产品延迟兑付的风险。</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7、信息传递风险：广州农商银行将按照本说明书有关“信息披露”的约定，进行本理财产品的信息披露。投资者应根据“信息披露”的约定及时进行查询。如果投资者未及时查询，或由于通讯故障、系统故障以及其他不可抗力等因素的影响使得投资者无法及时了解产品信息，并由此影响投资者的投资决策，因此而</w:t>
      </w:r>
      <w:r w:rsidRPr="00537BBB">
        <w:rPr>
          <w:rFonts w:ascii="宋体" w:hAnsi="宋体" w:hint="eastAsia"/>
          <w:color w:val="000000" w:themeColor="text1"/>
          <w:sz w:val="24"/>
          <w:szCs w:val="24"/>
        </w:rPr>
        <w:lastRenderedPageBreak/>
        <w:t>产生的责任和风险由投资者自行承担。另外，投资者预留在广州农商银行的有效联系方式变更的，应及时通知广州农商银行。如投资者未及时告知广州农商银行联系方式变更的，广州农商银行将可能在需要联系投资者时无法及时联系上，并可能会由此影响投资者的投资决策，由此而产生的责任和风险由投资者自行承担。</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8、产品不成立风险：如产品募集期届满，募集总金额未达到规模下限（如有约定）或市场发生剧烈波动，经广州农商银行合理判断难以按照本说明书规定向投资者提供本产品，广州农商银行有权确定产品不成立。</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9、流动性风险：本产品存续期间，投资者只能在本产品说明书规定时间内办理申购与赎回，这可能影响投资者的资金安排，带来流动性风险。本产品存续期内任一交易日，若净赎回申请超过理财产品总份额的10%的赎回行为，即为发生大额赎回，此时本行有权拒绝赎回申请，可能影响投资者的资金安排，带来流动性风险。</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10、管理人风险：由于管理受经验、技能等因素的限制，会影响本理财计划项下投资的投资回报。</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11、其他风险：包括但不限于自然灾害、金融市场危机、战争等不能预见、不能避免、不能克服的不可抗力因素造成的相关风险，或银行系统故障、通讯故障、投资市场停止交易等意外事件的发生，可能对产品的成立、投资运作、投资本金及收益兑付、信息披露等造成影响。对于由于不可抗力及意外事件风险导致的任何损失，双方根据不可抗力（不可控因素）实际情况并依据法律规定承担责任。</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个人客户在签署《广州农村商业银行股份有限公司个人理财业务申请表》前，应当仔细阅读本风险揭示书、客户权益须知、本理财产品的产品说明书的全部内容，同时向我行了解本理财产品的其他相关信息，并独立做出是否认购本理财产品的决定。</w:t>
      </w:r>
    </w:p>
    <w:p w:rsidR="00B37D2D" w:rsidRPr="00537BBB" w:rsidRDefault="00B37D2D" w:rsidP="00B37D2D">
      <w:pPr>
        <w:spacing w:line="276" w:lineRule="auto"/>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个人客户签署本揭示书、业务申请表，并将资金委托给我行运作是真实的意思表示。本风险揭示书、客户权益须知及相应的客户业务申请表、理财产品说明书将共同构成双方理财合同的有效组成部分。</w:t>
      </w:r>
    </w:p>
    <w:p w:rsidR="00B37D2D" w:rsidRPr="00537BBB" w:rsidRDefault="00B37D2D" w:rsidP="00B37D2D">
      <w:pPr>
        <w:spacing w:line="276" w:lineRule="auto"/>
        <w:ind w:firstLine="0"/>
        <w:rPr>
          <w:rFonts w:ascii="宋体" w:hAnsi="宋体"/>
          <w:color w:val="000000" w:themeColor="text1"/>
          <w:sz w:val="24"/>
          <w:szCs w:val="24"/>
        </w:rPr>
      </w:pPr>
    </w:p>
    <w:p w:rsidR="00B37D2D" w:rsidRPr="00537BBB" w:rsidRDefault="00B37D2D" w:rsidP="00B37D2D">
      <w:pPr>
        <w:spacing w:line="276" w:lineRule="auto"/>
        <w:ind w:firstLine="0"/>
        <w:jc w:val="right"/>
        <w:rPr>
          <w:rFonts w:ascii="宋体" w:hAnsi="宋体"/>
          <w:color w:val="000000" w:themeColor="text1"/>
          <w:sz w:val="24"/>
          <w:szCs w:val="24"/>
        </w:rPr>
      </w:pPr>
      <w:r w:rsidRPr="00537BBB">
        <w:rPr>
          <w:rFonts w:ascii="宋体" w:hAnsi="宋体" w:hint="eastAsia"/>
          <w:color w:val="000000" w:themeColor="text1"/>
          <w:sz w:val="24"/>
          <w:szCs w:val="24"/>
        </w:rPr>
        <w:t>风险揭示方：广州农村商业银行股份有限公司</w:t>
      </w: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color w:val="000000" w:themeColor="text1"/>
        </w:rPr>
      </w:pPr>
    </w:p>
    <w:p w:rsidR="00B37D2D" w:rsidRPr="00537BBB" w:rsidRDefault="00B37D2D" w:rsidP="00B37D2D">
      <w:pPr>
        <w:spacing w:line="276" w:lineRule="auto"/>
        <w:ind w:firstLine="0"/>
        <w:rPr>
          <w:rFonts w:ascii="宋体" w:hAnsi="宋体"/>
          <w:b/>
          <w:color w:val="000000" w:themeColor="text1"/>
          <w:sz w:val="24"/>
          <w:szCs w:val="24"/>
        </w:rPr>
      </w:pPr>
      <w:r w:rsidRPr="00537BBB">
        <w:rPr>
          <w:rFonts w:ascii="宋体" w:hAnsi="宋体" w:hint="eastAsia"/>
          <w:b/>
          <w:color w:val="000000" w:themeColor="text1"/>
          <w:sz w:val="24"/>
          <w:szCs w:val="24"/>
        </w:rPr>
        <w:t>投资者声明:</w:t>
      </w:r>
    </w:p>
    <w:p w:rsidR="00B37D2D" w:rsidRPr="00537BBB" w:rsidRDefault="00B37D2D" w:rsidP="001F21D2">
      <w:pPr>
        <w:autoSpaceDE w:val="0"/>
        <w:autoSpaceDN w:val="0"/>
        <w:spacing w:beforeLines="30" w:line="276" w:lineRule="auto"/>
        <w:ind w:firstLineChars="196" w:firstLine="472"/>
        <w:textAlignment w:val="center"/>
        <w:rPr>
          <w:rFonts w:ascii="宋体" w:hAnsi="宋体"/>
          <w:color w:val="000000" w:themeColor="text1"/>
          <w:sz w:val="24"/>
          <w:szCs w:val="24"/>
        </w:rPr>
      </w:pPr>
      <w:r w:rsidRPr="00537BBB">
        <w:rPr>
          <w:rFonts w:ascii="宋体" w:hAnsi="宋体" w:hint="eastAsia"/>
          <w:b/>
          <w:color w:val="000000" w:themeColor="text1"/>
          <w:sz w:val="24"/>
          <w:szCs w:val="24"/>
        </w:rPr>
        <w:t>本人已认真阅读并充分理解“产品说明书”、“风险揭示书”及“客户权益须知”的条款与内容，充分了解并清楚知晓本产品蕴含的风险，充分了解履行上述文件的责任，具有识别及承担相关风险的能力并愿意承担相关风险，本人拟进行的理财交易完全符合本人从事该交易的目的与投资目标</w:t>
      </w:r>
      <w:r w:rsidRPr="00537BBB">
        <w:rPr>
          <w:rFonts w:ascii="宋体" w:hAnsi="宋体" w:hint="eastAsia"/>
          <w:color w:val="000000" w:themeColor="text1"/>
          <w:sz w:val="24"/>
          <w:szCs w:val="24"/>
        </w:rPr>
        <w:t>。本人充分了解除产品说明书明确规定的本金及收益分配方式外，任何预计收益、预期收益、测算收益、同类产品参考业绩比较基准或类似表述均属不具有法律效力的用语，不代表投资人可能获得的实际收益，也不构成发行机构对本理财计划的任何收益承诺，仅供投资人进行投资决策时参考。本人声明广州农商银行可仅凭本《客户确认栏》即确认本人已理解并有能力承担相关理财交易的风险。</w:t>
      </w:r>
      <w:r w:rsidRPr="00537BBB">
        <w:rPr>
          <w:rFonts w:ascii="宋体" w:hAnsi="宋体"/>
          <w:color w:val="000000" w:themeColor="text1"/>
          <w:sz w:val="24"/>
          <w:szCs w:val="24"/>
        </w:rPr>
        <w:t>本人同意广州农村商业银行向银行业理财登记托管中心有限公司等机构报送包括但不限于本人身份信息及理财产品持有信息。</w:t>
      </w:r>
    </w:p>
    <w:p w:rsidR="00B37D2D" w:rsidRPr="00537BBB" w:rsidRDefault="00B37D2D" w:rsidP="00B37D2D">
      <w:pPr>
        <w:spacing w:line="276" w:lineRule="auto"/>
        <w:jc w:val="center"/>
        <w:rPr>
          <w:rFonts w:ascii="宋体" w:hAnsi="宋体"/>
          <w:b/>
          <w:color w:val="000000" w:themeColor="text1"/>
          <w:sz w:val="32"/>
          <w:szCs w:val="32"/>
        </w:rPr>
      </w:pPr>
    </w:p>
    <w:p w:rsidR="00B37D2D" w:rsidRPr="00537BBB" w:rsidRDefault="00B37D2D" w:rsidP="00B37D2D">
      <w:pPr>
        <w:spacing w:line="276" w:lineRule="auto"/>
        <w:jc w:val="center"/>
        <w:rPr>
          <w:rFonts w:ascii="宋体" w:hAnsi="宋体"/>
          <w:b/>
          <w:color w:val="000000" w:themeColor="text1"/>
          <w:sz w:val="32"/>
          <w:szCs w:val="32"/>
        </w:rPr>
      </w:pPr>
      <w:r w:rsidRPr="00537BBB">
        <w:rPr>
          <w:rFonts w:ascii="宋体" w:hAnsi="宋体" w:hint="eastAsia"/>
          <w:b/>
          <w:color w:val="000000" w:themeColor="text1"/>
          <w:sz w:val="32"/>
          <w:szCs w:val="32"/>
        </w:rPr>
        <w:t>客户确认栏</w:t>
      </w:r>
    </w:p>
    <w:p w:rsidR="00B37D2D" w:rsidRPr="00537BBB" w:rsidRDefault="00B37D2D" w:rsidP="00B37D2D">
      <w:pPr>
        <w:spacing w:line="276" w:lineRule="auto"/>
        <w:ind w:firstLineChars="200" w:firstLine="480"/>
        <w:rPr>
          <w:rFonts w:ascii="宋体" w:hAnsi="宋体"/>
          <w:color w:val="000000" w:themeColor="text1"/>
          <w:sz w:val="28"/>
          <w:szCs w:val="28"/>
          <w:u w:val="single"/>
        </w:rPr>
      </w:pPr>
      <w:r w:rsidRPr="00537BBB">
        <w:rPr>
          <w:rFonts w:ascii="宋体" w:hAnsi="宋体" w:hint="eastAsia"/>
          <w:color w:val="000000" w:themeColor="text1"/>
          <w:sz w:val="24"/>
        </w:rPr>
        <w:t>投资者请手工抄录：</w:t>
      </w:r>
      <w:r w:rsidRPr="00537BBB">
        <w:rPr>
          <w:rFonts w:ascii="宋体" w:hAnsi="宋体" w:hint="eastAsia"/>
          <w:color w:val="000000" w:themeColor="text1"/>
          <w:sz w:val="28"/>
          <w:szCs w:val="28"/>
          <w:u w:val="single"/>
        </w:rPr>
        <w:t>本人已经阅读风险提示，愿意承担投资风险。</w:t>
      </w:r>
    </w:p>
    <w:p w:rsidR="00B37D2D" w:rsidRPr="001F21D2" w:rsidRDefault="00B37D2D" w:rsidP="000E3246">
      <w:pPr>
        <w:spacing w:line="276" w:lineRule="auto"/>
        <w:ind w:firstLineChars="200" w:firstLine="480"/>
        <w:rPr>
          <w:rFonts w:ascii="宋体" w:hAnsi="宋体"/>
          <w:color w:val="000000" w:themeColor="text1"/>
          <w:sz w:val="32"/>
          <w:szCs w:val="32"/>
          <w:u w:val="single"/>
        </w:rPr>
      </w:pPr>
      <w:r w:rsidRPr="00537BBB">
        <w:rPr>
          <w:rFonts w:ascii="宋体" w:hAnsi="宋体" w:hint="eastAsia"/>
          <w:color w:val="000000" w:themeColor="text1"/>
          <w:sz w:val="24"/>
        </w:rPr>
        <w:t>投资者抄录：</w:t>
      </w:r>
      <w:r w:rsidR="001F21D2">
        <w:rPr>
          <w:rFonts w:ascii="宋体" w:hAnsi="宋体" w:hint="eastAsia"/>
          <w:color w:val="000000" w:themeColor="text1"/>
          <w:sz w:val="24"/>
          <w:u w:val="single"/>
        </w:rPr>
        <w:t xml:space="preserve">                                                    </w:t>
      </w:r>
    </w:p>
    <w:p w:rsidR="000E3246" w:rsidRPr="00537BBB" w:rsidRDefault="001F21D2" w:rsidP="000E3246">
      <w:pPr>
        <w:spacing w:line="276" w:lineRule="auto"/>
        <w:ind w:firstLineChars="200" w:firstLine="640"/>
        <w:rPr>
          <w:rFonts w:ascii="宋体" w:hAnsi="宋体"/>
          <w:color w:val="000000" w:themeColor="text1"/>
          <w:sz w:val="32"/>
          <w:szCs w:val="32"/>
          <w:u w:val="single"/>
        </w:rPr>
      </w:pPr>
      <w:r>
        <w:rPr>
          <w:rFonts w:ascii="宋体" w:hAnsi="宋体" w:hint="eastAsia"/>
          <w:color w:val="000000" w:themeColor="text1"/>
          <w:sz w:val="32"/>
          <w:szCs w:val="32"/>
          <w:u w:val="single"/>
        </w:rPr>
        <w:t xml:space="preserve">                                               </w:t>
      </w:r>
    </w:p>
    <w:p w:rsidR="00B37D2D" w:rsidRPr="001F21D2" w:rsidRDefault="00B37D2D" w:rsidP="00B37D2D">
      <w:pPr>
        <w:spacing w:line="276" w:lineRule="auto"/>
        <w:ind w:firstLineChars="200" w:firstLine="480"/>
        <w:rPr>
          <w:rFonts w:ascii="宋体" w:hAnsi="宋体"/>
          <w:color w:val="000000" w:themeColor="text1"/>
          <w:sz w:val="28"/>
          <w:szCs w:val="28"/>
          <w:u w:val="single"/>
        </w:rPr>
      </w:pPr>
      <w:r w:rsidRPr="00537BBB">
        <w:rPr>
          <w:rFonts w:ascii="宋体" w:hAnsi="宋体" w:hint="eastAsia"/>
          <w:color w:val="000000" w:themeColor="text1"/>
          <w:sz w:val="24"/>
        </w:rPr>
        <w:t>投资者风险承受能力评级结果（投资者填写）：</w:t>
      </w:r>
      <w:r w:rsidR="001F21D2">
        <w:rPr>
          <w:rFonts w:ascii="宋体" w:hAnsi="宋体" w:hint="eastAsia"/>
          <w:color w:val="000000" w:themeColor="text1"/>
          <w:sz w:val="24"/>
          <w:u w:val="single"/>
        </w:rPr>
        <w:t xml:space="preserve">                       </w:t>
      </w:r>
    </w:p>
    <w:p w:rsidR="00B37D2D" w:rsidRPr="00537BBB" w:rsidRDefault="00B37D2D" w:rsidP="00B37D2D">
      <w:pPr>
        <w:spacing w:line="276" w:lineRule="auto"/>
        <w:ind w:firstLineChars="200" w:firstLine="480"/>
        <w:rPr>
          <w:rFonts w:ascii="宋体" w:hAnsi="宋体"/>
          <w:color w:val="000000" w:themeColor="text1"/>
          <w:sz w:val="24"/>
        </w:rPr>
      </w:pPr>
    </w:p>
    <w:p w:rsidR="00B37D2D" w:rsidRPr="001F21D2" w:rsidRDefault="00B37D2D" w:rsidP="00B37D2D">
      <w:pPr>
        <w:spacing w:line="276" w:lineRule="auto"/>
        <w:ind w:right="420" w:firstLineChars="1750" w:firstLine="4200"/>
        <w:rPr>
          <w:rFonts w:ascii="宋体" w:hAnsi="宋体"/>
          <w:color w:val="000000" w:themeColor="text1"/>
          <w:sz w:val="24"/>
          <w:u w:val="single"/>
        </w:rPr>
      </w:pPr>
      <w:r w:rsidRPr="00537BBB">
        <w:rPr>
          <w:rFonts w:ascii="宋体" w:hAnsi="宋体" w:hint="eastAsia"/>
          <w:color w:val="000000" w:themeColor="text1"/>
          <w:sz w:val="24"/>
        </w:rPr>
        <w:t>投资者签字（签章）：</w:t>
      </w:r>
      <w:r w:rsidR="001F21D2">
        <w:rPr>
          <w:rFonts w:ascii="宋体" w:hAnsi="宋体" w:hint="eastAsia"/>
          <w:color w:val="000000" w:themeColor="text1"/>
          <w:sz w:val="24"/>
          <w:u w:val="single"/>
        </w:rPr>
        <w:t xml:space="preserve">               </w:t>
      </w:r>
    </w:p>
    <w:p w:rsidR="00B37D2D" w:rsidRPr="00537BBB" w:rsidRDefault="00B37D2D" w:rsidP="001F21D2">
      <w:pPr>
        <w:autoSpaceDE w:val="0"/>
        <w:autoSpaceDN w:val="0"/>
        <w:spacing w:beforeLines="30" w:line="276" w:lineRule="auto"/>
        <w:ind w:firstLineChars="196" w:firstLine="470"/>
        <w:textAlignment w:val="center"/>
        <w:rPr>
          <w:rFonts w:ascii="宋体" w:hAnsi="宋体"/>
          <w:color w:val="000000" w:themeColor="text1"/>
          <w:sz w:val="24"/>
          <w:szCs w:val="24"/>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B37D2D" w:rsidRPr="00537BBB" w:rsidRDefault="00B37D2D" w:rsidP="00B37D2D">
      <w:pPr>
        <w:ind w:firstLine="0"/>
        <w:rPr>
          <w:rFonts w:ascii="宋体" w:hAnsi="宋体"/>
          <w:color w:val="000000" w:themeColor="text1"/>
          <w:szCs w:val="21"/>
        </w:rPr>
      </w:pPr>
    </w:p>
    <w:p w:rsidR="00A16EEF" w:rsidRPr="00537BBB" w:rsidRDefault="00A16EEF" w:rsidP="004A3D40">
      <w:pPr>
        <w:ind w:firstLine="602"/>
        <w:jc w:val="center"/>
        <w:rPr>
          <w:rFonts w:ascii="宋体" w:hAnsi="宋体"/>
          <w:b/>
          <w:color w:val="000000" w:themeColor="text1"/>
          <w:szCs w:val="21"/>
        </w:rPr>
      </w:pPr>
      <w:r w:rsidRPr="00537BBB">
        <w:rPr>
          <w:rFonts w:ascii="宋体" w:hAnsi="宋体" w:hint="eastAsia"/>
          <w:b/>
          <w:color w:val="000000" w:themeColor="text1"/>
          <w:szCs w:val="21"/>
        </w:rPr>
        <w:t>广州农村商业银行“</w:t>
      </w:r>
      <w:r w:rsidR="004B6A31">
        <w:rPr>
          <w:rFonts w:ascii="宋体" w:hAnsi="宋体" w:hint="eastAsia"/>
          <w:b/>
          <w:color w:val="000000" w:themeColor="text1"/>
          <w:szCs w:val="21"/>
        </w:rPr>
        <w:t>金米嘉富</w:t>
      </w:r>
      <w:r w:rsidR="00526AAA">
        <w:rPr>
          <w:rFonts w:ascii="宋体" w:hAnsi="宋体" w:hint="eastAsia"/>
          <w:b/>
          <w:color w:val="000000" w:themeColor="text1"/>
          <w:szCs w:val="21"/>
        </w:rPr>
        <w:t>6个月定开22号</w:t>
      </w:r>
      <w:r w:rsidRPr="00537BBB">
        <w:rPr>
          <w:rFonts w:ascii="宋体" w:hAnsi="宋体" w:hint="eastAsia"/>
          <w:b/>
          <w:color w:val="000000" w:themeColor="text1"/>
          <w:szCs w:val="21"/>
        </w:rPr>
        <w:t>”人民币理财</w:t>
      </w:r>
    </w:p>
    <w:p w:rsidR="00A16EEF" w:rsidRPr="00537BBB" w:rsidRDefault="008B5A06" w:rsidP="004A3D40">
      <w:pPr>
        <w:ind w:firstLine="602"/>
        <w:jc w:val="center"/>
        <w:rPr>
          <w:rFonts w:ascii="宋体" w:hAnsi="宋体"/>
          <w:b/>
          <w:color w:val="000000" w:themeColor="text1"/>
          <w:szCs w:val="21"/>
        </w:rPr>
      </w:pPr>
      <w:r w:rsidRPr="00537BBB">
        <w:rPr>
          <w:rFonts w:ascii="宋体" w:hAnsi="宋体" w:hint="eastAsia"/>
          <w:b/>
          <w:color w:val="000000" w:themeColor="text1"/>
          <w:szCs w:val="21"/>
        </w:rPr>
        <w:t>产品说明书</w:t>
      </w:r>
    </w:p>
    <w:p w:rsidR="00B37D2D" w:rsidRPr="00537BBB" w:rsidRDefault="00B37D2D" w:rsidP="00B37D2D">
      <w:pPr>
        <w:ind w:firstLine="0"/>
        <w:textAlignment w:val="bottom"/>
        <w:rPr>
          <w:rFonts w:ascii="宋体" w:hAnsi="宋体"/>
          <w:b/>
          <w:color w:val="000000" w:themeColor="text1"/>
          <w:sz w:val="24"/>
          <w:szCs w:val="24"/>
        </w:rPr>
      </w:pPr>
      <w:r w:rsidRPr="00537BBB">
        <w:rPr>
          <w:rFonts w:ascii="宋体" w:hAnsi="宋体" w:hint="eastAsia"/>
          <w:b/>
          <w:color w:val="000000" w:themeColor="text1"/>
          <w:sz w:val="24"/>
          <w:szCs w:val="24"/>
        </w:rPr>
        <w:t>重要须知：</w:t>
      </w:r>
    </w:p>
    <w:p w:rsidR="00B37D2D" w:rsidRPr="00537BBB" w:rsidRDefault="00B37D2D" w:rsidP="00B37D2D">
      <w:pPr>
        <w:ind w:firstLine="480"/>
        <w:textAlignment w:val="bottom"/>
        <w:rPr>
          <w:rFonts w:ascii="宋体" w:hAnsi="宋体"/>
          <w:color w:val="000000" w:themeColor="text1"/>
          <w:sz w:val="24"/>
          <w:szCs w:val="24"/>
        </w:rPr>
      </w:pPr>
      <w:r w:rsidRPr="00537BBB">
        <w:rPr>
          <w:rFonts w:ascii="宋体" w:hAnsi="宋体" w:hint="eastAsia"/>
          <w:color w:val="000000" w:themeColor="text1"/>
          <w:sz w:val="24"/>
          <w:szCs w:val="24"/>
        </w:rPr>
        <w:t>·本说明书为《广州农商银行个人理财业务申请表》不可分割之组成部分。</w:t>
      </w:r>
    </w:p>
    <w:p w:rsidR="00B37D2D" w:rsidRPr="00537BBB" w:rsidRDefault="00B37D2D" w:rsidP="00B37D2D">
      <w:pPr>
        <w:ind w:firstLine="480"/>
        <w:textAlignment w:val="bottom"/>
        <w:rPr>
          <w:rFonts w:ascii="宋体" w:hAnsi="宋体"/>
          <w:color w:val="000000" w:themeColor="text1"/>
          <w:sz w:val="24"/>
          <w:szCs w:val="24"/>
        </w:rPr>
      </w:pPr>
      <w:r w:rsidRPr="00537BBB">
        <w:rPr>
          <w:rFonts w:ascii="宋体" w:hAnsi="宋体" w:hint="eastAsia"/>
          <w:color w:val="000000" w:themeColor="text1"/>
          <w:sz w:val="24"/>
          <w:szCs w:val="24"/>
        </w:rPr>
        <w:t>·本产品管理人为广州农村商业银行股份有限公司，以下简称为广州农商银行。公司网址为：http://www.grcbank.com</w:t>
      </w:r>
    </w:p>
    <w:p w:rsidR="00B37D2D" w:rsidRPr="00537BBB" w:rsidRDefault="00B37D2D" w:rsidP="00B37D2D">
      <w:pPr>
        <w:ind w:firstLine="480"/>
        <w:textAlignment w:val="bottom"/>
        <w:rPr>
          <w:rFonts w:ascii="宋体" w:hAnsi="宋体"/>
          <w:color w:val="000000" w:themeColor="text1"/>
          <w:sz w:val="24"/>
          <w:szCs w:val="24"/>
        </w:rPr>
      </w:pPr>
      <w:r w:rsidRPr="00537BBB">
        <w:rPr>
          <w:rFonts w:ascii="宋体" w:hAnsi="宋体" w:hint="eastAsia"/>
          <w:color w:val="000000" w:themeColor="text1"/>
          <w:sz w:val="24"/>
          <w:szCs w:val="24"/>
        </w:rPr>
        <w:t>·</w:t>
      </w:r>
      <w:r w:rsidRPr="00537BBB">
        <w:rPr>
          <w:rFonts w:ascii="宋体" w:hAnsi="宋体" w:hint="eastAsia"/>
          <w:b/>
          <w:color w:val="000000" w:themeColor="text1"/>
          <w:sz w:val="24"/>
          <w:szCs w:val="24"/>
        </w:rPr>
        <w:t>理财非存款，产品有风险，投资须谨慎。</w:t>
      </w:r>
      <w:r w:rsidRPr="00537BBB">
        <w:rPr>
          <w:rFonts w:ascii="宋体" w:hAnsi="宋体" w:hint="eastAsia"/>
          <w:color w:val="000000" w:themeColor="text1"/>
          <w:sz w:val="24"/>
          <w:szCs w:val="24"/>
        </w:rPr>
        <w:t>投资者应根据自身判断审慎做出投资决定，不受任何诱导、误导。在购买本理财产品前，投资者应确保自己完全明白该项投资的性质、投资所涉及的风险以及投资者的风险承受能力，并根据自身情况做出投资决策。在购买理财产品后，投资者应随时关注该理财产品的信息披露情况，及时获取相关信息。</w:t>
      </w:r>
    </w:p>
    <w:p w:rsidR="00B37D2D" w:rsidRPr="00537BBB" w:rsidRDefault="00B37D2D" w:rsidP="00B37D2D">
      <w:pPr>
        <w:ind w:firstLine="480"/>
        <w:textAlignment w:val="bottom"/>
        <w:rPr>
          <w:rFonts w:ascii="宋体" w:hAnsi="宋体"/>
          <w:color w:val="000000" w:themeColor="text1"/>
          <w:sz w:val="24"/>
          <w:szCs w:val="24"/>
        </w:rPr>
      </w:pPr>
      <w:r w:rsidRPr="00537BBB">
        <w:rPr>
          <w:rFonts w:ascii="宋体" w:hAnsi="宋体" w:hint="eastAsia"/>
          <w:color w:val="000000" w:themeColor="text1"/>
          <w:sz w:val="24"/>
          <w:szCs w:val="24"/>
        </w:rPr>
        <w:t>·投资者承诺其投资理财产品所使用的资金来源合法合规，并且其系为合法目的投资本理财产品，不存在洗钱、代持等违法犯罪目的。如发生异常情况，投资者将配合广州农村商业银行开展客户身份识别及尽职调查等反洗钱活动，及时、真实、完整提供身份信息及资金来源等信息。</w:t>
      </w:r>
    </w:p>
    <w:p w:rsidR="00B37D2D" w:rsidRPr="00537BBB" w:rsidRDefault="00B37D2D" w:rsidP="00B37D2D">
      <w:pPr>
        <w:ind w:firstLine="480"/>
        <w:textAlignment w:val="bottom"/>
        <w:rPr>
          <w:rFonts w:ascii="宋体" w:hAnsi="宋体"/>
          <w:color w:val="000000" w:themeColor="text1"/>
          <w:sz w:val="24"/>
          <w:szCs w:val="24"/>
        </w:rPr>
      </w:pPr>
      <w:r w:rsidRPr="00537BBB">
        <w:rPr>
          <w:rFonts w:ascii="宋体" w:hAnsi="宋体" w:hint="eastAsia"/>
          <w:color w:val="000000" w:themeColor="text1"/>
          <w:sz w:val="24"/>
          <w:szCs w:val="24"/>
        </w:rPr>
        <w:t>·</w:t>
      </w:r>
      <w:r w:rsidRPr="00537BBB">
        <w:rPr>
          <w:rFonts w:ascii="宋体" w:hAnsi="宋体" w:hint="eastAsia"/>
          <w:b/>
          <w:color w:val="000000" w:themeColor="text1"/>
          <w:sz w:val="24"/>
          <w:szCs w:val="24"/>
        </w:rPr>
        <w:t>根据本产品在理财登记系统取得的产品登记编码，投资者可在“中国理财网（www.chinawealth.com.cn）”上查询产品信息。</w:t>
      </w:r>
    </w:p>
    <w:p w:rsidR="00B37D2D" w:rsidRPr="00537BBB" w:rsidRDefault="00B37D2D" w:rsidP="00B37D2D">
      <w:pPr>
        <w:ind w:firstLine="480"/>
        <w:textAlignment w:val="bottom"/>
        <w:rPr>
          <w:rFonts w:ascii="宋体" w:hAnsi="宋体"/>
          <w:b/>
          <w:color w:val="000000" w:themeColor="text1"/>
          <w:sz w:val="24"/>
          <w:szCs w:val="24"/>
        </w:rPr>
      </w:pPr>
      <w:r w:rsidRPr="00537BBB">
        <w:rPr>
          <w:rFonts w:ascii="宋体" w:hAnsi="宋体" w:hint="eastAsia"/>
          <w:color w:val="000000" w:themeColor="text1"/>
          <w:sz w:val="24"/>
          <w:szCs w:val="24"/>
        </w:rPr>
        <w:t>·本理财产品为开放式净值型理财产品，本理财产品参考业绩比较基准、测算收益或类似表述均属不具有法律约束力的用语，</w:t>
      </w:r>
      <w:r w:rsidRPr="00537BBB">
        <w:rPr>
          <w:rFonts w:ascii="宋体" w:hAnsi="宋体" w:hint="eastAsia"/>
          <w:b/>
          <w:color w:val="000000" w:themeColor="text1"/>
          <w:sz w:val="24"/>
          <w:szCs w:val="24"/>
        </w:rPr>
        <w:t>同类产品参考业绩比较基准仅作为计算浮动管理费的依据，不代表投资者可能获得的实际收益，亦不构成广州农商银行对本理财产品的任何收益承诺。</w:t>
      </w:r>
    </w:p>
    <w:p w:rsidR="00B37D2D" w:rsidRPr="00537BBB" w:rsidRDefault="00B37D2D" w:rsidP="00B37D2D">
      <w:pPr>
        <w:ind w:firstLine="480"/>
        <w:textAlignment w:val="bottom"/>
        <w:rPr>
          <w:rFonts w:ascii="宋体" w:hAnsi="宋体"/>
          <w:b/>
          <w:color w:val="000000" w:themeColor="text1"/>
          <w:sz w:val="24"/>
          <w:szCs w:val="24"/>
        </w:rPr>
      </w:pPr>
      <w:r w:rsidRPr="00537BBB">
        <w:rPr>
          <w:rFonts w:ascii="宋体" w:hAnsi="宋体" w:hint="eastAsia"/>
          <w:color w:val="000000" w:themeColor="text1"/>
          <w:sz w:val="24"/>
          <w:szCs w:val="24"/>
        </w:rPr>
        <w:t>·</w:t>
      </w:r>
      <w:r w:rsidRPr="00537BBB">
        <w:rPr>
          <w:rFonts w:ascii="宋体" w:hAnsi="宋体" w:hint="eastAsia"/>
          <w:b/>
          <w:color w:val="000000" w:themeColor="text1"/>
          <w:sz w:val="24"/>
          <w:szCs w:val="24"/>
        </w:rPr>
        <w:t>理财产品过往业绩不代表其未来表现，不等于理财产品实际收益，投资须谨慎。</w:t>
      </w:r>
    </w:p>
    <w:p w:rsidR="00B37D2D" w:rsidRPr="00537BBB" w:rsidRDefault="00B37D2D" w:rsidP="00B37D2D">
      <w:pPr>
        <w:ind w:firstLine="480"/>
        <w:textAlignment w:val="bottom"/>
        <w:rPr>
          <w:rFonts w:ascii="宋体" w:hAnsi="宋体"/>
          <w:color w:val="000000" w:themeColor="text1"/>
          <w:sz w:val="24"/>
          <w:szCs w:val="24"/>
        </w:rPr>
      </w:pPr>
      <w:r w:rsidRPr="00537BBB">
        <w:rPr>
          <w:rFonts w:ascii="宋体" w:hAnsi="宋体" w:hint="eastAsia"/>
          <w:color w:val="000000" w:themeColor="text1"/>
          <w:sz w:val="24"/>
          <w:szCs w:val="24"/>
        </w:rPr>
        <w:t>·广州农商银行将会根据</w:t>
      </w:r>
      <w:r w:rsidRPr="00537BBB">
        <w:rPr>
          <w:rFonts w:ascii="宋体" w:hAnsi="宋体"/>
          <w:color w:val="000000" w:themeColor="text1"/>
          <w:sz w:val="24"/>
          <w:szCs w:val="24"/>
        </w:rPr>
        <w:t>市场情况调整产品参考业绩比较基准，并通过官方网站或网点</w:t>
      </w:r>
      <w:r w:rsidRPr="00537BBB">
        <w:rPr>
          <w:rFonts w:ascii="宋体" w:hAnsi="宋体" w:hint="eastAsia"/>
          <w:color w:val="000000" w:themeColor="text1"/>
          <w:sz w:val="24"/>
          <w:szCs w:val="24"/>
        </w:rPr>
        <w:t>公告方</w:t>
      </w:r>
      <w:r w:rsidRPr="00537BBB">
        <w:rPr>
          <w:rFonts w:ascii="宋体" w:hAnsi="宋体"/>
          <w:color w:val="000000" w:themeColor="text1"/>
          <w:sz w:val="24"/>
          <w:szCs w:val="24"/>
        </w:rPr>
        <w:t>式进行告知，不再单独另行通知投资者。新的同类产品参考业绩比较基准依据公告所述的日期和内容生效。投资者适用产品参考业绩比较基准以申购</w:t>
      </w:r>
      <w:r w:rsidRPr="00537BBB">
        <w:rPr>
          <w:rFonts w:ascii="宋体" w:hAnsi="宋体" w:hint="eastAsia"/>
          <w:color w:val="000000" w:themeColor="text1"/>
          <w:sz w:val="24"/>
          <w:szCs w:val="24"/>
        </w:rPr>
        <w:t>确认</w:t>
      </w:r>
      <w:r w:rsidRPr="00537BBB">
        <w:rPr>
          <w:rFonts w:ascii="宋体" w:hAnsi="宋体"/>
          <w:color w:val="000000" w:themeColor="text1"/>
          <w:sz w:val="24"/>
          <w:szCs w:val="24"/>
        </w:rPr>
        <w:t>日当天为准，</w:t>
      </w:r>
      <w:r w:rsidRPr="00537BBB">
        <w:rPr>
          <w:rFonts w:ascii="宋体" w:hAnsi="宋体" w:hint="eastAsia"/>
          <w:color w:val="000000" w:themeColor="text1"/>
          <w:sz w:val="24"/>
          <w:szCs w:val="24"/>
        </w:rPr>
        <w:t>单个周期内</w:t>
      </w:r>
      <w:r w:rsidRPr="00537BBB">
        <w:rPr>
          <w:rFonts w:ascii="宋体" w:hAnsi="宋体"/>
          <w:color w:val="000000" w:themeColor="text1"/>
          <w:sz w:val="24"/>
          <w:szCs w:val="24"/>
        </w:rPr>
        <w:t>已成功确认认购/申购份额适用同类产品参考业绩比较基准不随</w:t>
      </w:r>
      <w:r w:rsidRPr="00537BBB">
        <w:rPr>
          <w:rFonts w:ascii="宋体" w:hAnsi="宋体" w:hint="eastAsia"/>
          <w:color w:val="000000" w:themeColor="text1"/>
          <w:sz w:val="24"/>
          <w:szCs w:val="24"/>
        </w:rPr>
        <w:t>该周期内</w:t>
      </w:r>
      <w:r w:rsidRPr="00537BBB">
        <w:rPr>
          <w:rFonts w:ascii="宋体" w:hAnsi="宋体"/>
          <w:color w:val="000000" w:themeColor="text1"/>
          <w:sz w:val="24"/>
          <w:szCs w:val="24"/>
        </w:rPr>
        <w:t>管理人更改产品参考业绩比较基准而更改。</w:t>
      </w:r>
    </w:p>
    <w:p w:rsidR="00B37D2D" w:rsidRPr="00537BBB" w:rsidRDefault="00B37D2D" w:rsidP="00B37D2D">
      <w:pPr>
        <w:ind w:firstLine="480"/>
        <w:textAlignment w:val="bottom"/>
        <w:rPr>
          <w:rFonts w:ascii="宋体" w:hAnsi="宋体"/>
          <w:color w:val="000000" w:themeColor="text1"/>
          <w:sz w:val="24"/>
          <w:szCs w:val="24"/>
        </w:rPr>
      </w:pPr>
      <w:r w:rsidRPr="00537BBB">
        <w:rPr>
          <w:rFonts w:ascii="宋体" w:hAnsi="宋体" w:hint="eastAsia"/>
          <w:color w:val="000000" w:themeColor="text1"/>
          <w:sz w:val="24"/>
          <w:szCs w:val="24"/>
        </w:rPr>
        <w:t>·本理财产品适合</w:t>
      </w:r>
      <w:r w:rsidRPr="00537BBB">
        <w:rPr>
          <w:rFonts w:ascii="宋体" w:hAnsi="宋体" w:hint="eastAsia"/>
          <w:b/>
          <w:color w:val="000000" w:themeColor="text1"/>
          <w:sz w:val="24"/>
          <w:szCs w:val="24"/>
        </w:rPr>
        <w:t>稳健型</w:t>
      </w:r>
      <w:r w:rsidRPr="00537BBB">
        <w:rPr>
          <w:rFonts w:ascii="宋体" w:hAnsi="宋体" w:hint="eastAsia"/>
          <w:color w:val="000000" w:themeColor="text1"/>
          <w:sz w:val="24"/>
          <w:szCs w:val="24"/>
        </w:rPr>
        <w:t>及以上的个人投资者，请投资者仔细阅读本产品说明书，特别是“风险揭示”部分，并充分理解本理财产品可能存在的相关风险。</w:t>
      </w:r>
    </w:p>
    <w:p w:rsidR="00B37D2D" w:rsidRPr="00537BBB" w:rsidRDefault="00B37D2D" w:rsidP="00B37D2D">
      <w:pPr>
        <w:ind w:firstLine="480"/>
        <w:textAlignment w:val="bottom"/>
        <w:rPr>
          <w:rFonts w:ascii="宋体" w:hAnsi="宋体"/>
          <w:color w:val="000000" w:themeColor="text1"/>
          <w:sz w:val="24"/>
          <w:szCs w:val="24"/>
        </w:rPr>
      </w:pPr>
      <w:r w:rsidRPr="00537BBB">
        <w:rPr>
          <w:rFonts w:ascii="宋体" w:hAnsi="宋体" w:hint="eastAsia"/>
          <w:color w:val="000000" w:themeColor="text1"/>
          <w:sz w:val="24"/>
          <w:szCs w:val="24"/>
        </w:rPr>
        <w:t>·投资者若对本说明书的内容有任何疑问，请咨询广州农商银行网点工作人员；如对该产品和服务有任何意见、建议和投诉，可通过广州农商银行网点工作人员、95313客户服务电话进行反映，我们将按相关流程予以受理。</w:t>
      </w:r>
    </w:p>
    <w:p w:rsidR="00A16EEF" w:rsidRPr="00537BBB" w:rsidRDefault="00A16EEF" w:rsidP="004A3D40">
      <w:pPr>
        <w:widowControl/>
        <w:spacing w:line="300" w:lineRule="exact"/>
        <w:ind w:firstLine="482"/>
        <w:rPr>
          <w:rFonts w:ascii="宋体" w:hAnsi="宋体" w:cs="宋体"/>
          <w:b/>
          <w:bCs/>
          <w:color w:val="000000" w:themeColor="text1"/>
          <w:kern w:val="0"/>
          <w:szCs w:val="21"/>
        </w:rPr>
      </w:pPr>
    </w:p>
    <w:p w:rsidR="002F37A7" w:rsidRPr="00537BBB" w:rsidRDefault="002F37A7" w:rsidP="00AD73B8">
      <w:pPr>
        <w:widowControl/>
        <w:numPr>
          <w:ilvl w:val="0"/>
          <w:numId w:val="7"/>
        </w:numPr>
        <w:spacing w:line="300" w:lineRule="exact"/>
        <w:rPr>
          <w:rFonts w:ascii="宋体" w:hAnsi="宋体" w:cs="宋体"/>
          <w:b/>
          <w:bCs/>
          <w:color w:val="000000" w:themeColor="text1"/>
          <w:kern w:val="0"/>
          <w:szCs w:val="21"/>
        </w:rPr>
      </w:pPr>
      <w:r w:rsidRPr="00537BBB">
        <w:rPr>
          <w:rFonts w:ascii="宋体" w:hAnsi="宋体" w:cs="宋体" w:hint="eastAsia"/>
          <w:b/>
          <w:bCs/>
          <w:color w:val="000000" w:themeColor="text1"/>
          <w:kern w:val="0"/>
          <w:szCs w:val="21"/>
        </w:rPr>
        <w:t>产品要素</w:t>
      </w:r>
    </w:p>
    <w:tbl>
      <w:tblPr>
        <w:tblpPr w:leftFromText="180" w:rightFromText="180" w:vertAnchor="text" w:tblpXSpec="center" w:tblpY="1"/>
        <w:tblOverlap w:val="never"/>
        <w:tblW w:w="8820" w:type="dxa"/>
        <w:tblCellMar>
          <w:left w:w="0" w:type="dxa"/>
          <w:right w:w="0" w:type="dxa"/>
        </w:tblCellMar>
        <w:tblLook w:val="0000"/>
      </w:tblPr>
      <w:tblGrid>
        <w:gridCol w:w="2340"/>
        <w:gridCol w:w="6480"/>
      </w:tblGrid>
      <w:tr w:rsidR="00AD73B8" w:rsidRPr="00537BBB" w:rsidTr="00BE460C">
        <w:trPr>
          <w:trHeight w:val="553"/>
        </w:trPr>
        <w:tc>
          <w:tcPr>
            <w:tcW w:w="2340" w:type="dxa"/>
            <w:tcBorders>
              <w:top w:val="single" w:sz="12"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D73B8" w:rsidRPr="00537BBB" w:rsidRDefault="00AD73B8" w:rsidP="00BE460C">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产品名称</w:t>
            </w:r>
          </w:p>
        </w:tc>
        <w:tc>
          <w:tcPr>
            <w:tcW w:w="6480"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tcPr>
          <w:p w:rsidR="00AD73B8" w:rsidRPr="00537BBB" w:rsidRDefault="00AD73B8" w:rsidP="00AD354E">
            <w:pPr>
              <w:widowControl/>
              <w:spacing w:before="100" w:beforeAutospacing="1" w:after="100" w:afterAutospacing="1" w:line="326" w:lineRule="atLeast"/>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w:t>
            </w:r>
            <w:r w:rsidR="004B6A31">
              <w:rPr>
                <w:rFonts w:ascii="微软雅黑" w:eastAsia="微软雅黑" w:hAnsi="微软雅黑" w:cs="宋体" w:hint="eastAsia"/>
                <w:color w:val="000000" w:themeColor="text1"/>
                <w:kern w:val="0"/>
                <w:sz w:val="18"/>
                <w:szCs w:val="18"/>
              </w:rPr>
              <w:t>金米嘉富</w:t>
            </w:r>
            <w:r w:rsidR="00526AAA">
              <w:rPr>
                <w:rFonts w:ascii="微软雅黑" w:eastAsia="微软雅黑" w:hAnsi="微软雅黑" w:cs="宋体" w:hint="eastAsia"/>
                <w:color w:val="000000" w:themeColor="text1"/>
                <w:kern w:val="0"/>
                <w:sz w:val="18"/>
                <w:szCs w:val="18"/>
              </w:rPr>
              <w:t>6个月定开22号</w:t>
            </w:r>
            <w:r w:rsidRPr="00537BBB">
              <w:rPr>
                <w:rFonts w:ascii="微软雅黑" w:eastAsia="微软雅黑" w:hAnsi="微软雅黑" w:cs="宋体" w:hint="eastAsia"/>
                <w:color w:val="000000" w:themeColor="text1"/>
                <w:kern w:val="0"/>
                <w:sz w:val="18"/>
                <w:szCs w:val="18"/>
              </w:rPr>
              <w:t>”理财产品</w:t>
            </w:r>
          </w:p>
        </w:tc>
      </w:tr>
      <w:tr w:rsidR="004E4FD8" w:rsidRPr="00537BBB" w:rsidTr="002A1FCF">
        <w:trPr>
          <w:trHeight w:val="385"/>
        </w:trPr>
        <w:tc>
          <w:tcPr>
            <w:tcW w:w="234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产品号</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widowControl/>
              <w:spacing w:before="100" w:beforeAutospacing="1" w:after="100" w:afterAutospacing="1" w:line="326" w:lineRule="atLeast"/>
              <w:jc w:val="center"/>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产品编号：</w:t>
            </w:r>
            <w:r w:rsidR="00526AAA" w:rsidRPr="00831E22">
              <w:rPr>
                <w:rFonts w:ascii="微软雅黑" w:eastAsia="微软雅黑" w:hAnsi="微软雅黑" w:cs="宋体" w:hint="eastAsia"/>
                <w:kern w:val="0"/>
                <w:sz w:val="18"/>
                <w:szCs w:val="18"/>
              </w:rPr>
              <w:t>LCCJZ6M022</w:t>
            </w:r>
          </w:p>
        </w:tc>
      </w:tr>
      <w:tr w:rsidR="004E4FD8" w:rsidRPr="00537BBB" w:rsidTr="002A1FCF">
        <w:trPr>
          <w:trHeight w:val="405"/>
        </w:trPr>
        <w:tc>
          <w:tcPr>
            <w:tcW w:w="2340" w:type="dxa"/>
            <w:tcBorders>
              <w:top w:val="nil"/>
              <w:left w:val="single" w:sz="12" w:space="0" w:color="auto"/>
              <w:bottom w:val="single" w:sz="2" w:space="0" w:color="auto"/>
              <w:right w:val="single" w:sz="4"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理财信息登记系统登记编码</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526AAA" w:rsidP="004E4FD8">
            <w:pPr>
              <w:widowControl/>
              <w:spacing w:before="100" w:beforeAutospacing="1" w:after="100" w:afterAutospacing="1" w:line="326" w:lineRule="atLeast"/>
              <w:jc w:val="center"/>
              <w:rPr>
                <w:rFonts w:ascii="微软雅黑" w:eastAsia="微软雅黑" w:hAnsi="微软雅黑" w:cs="宋体"/>
                <w:kern w:val="0"/>
                <w:sz w:val="18"/>
                <w:szCs w:val="18"/>
              </w:rPr>
            </w:pPr>
            <w:r w:rsidRPr="00831E22">
              <w:rPr>
                <w:rFonts w:ascii="微软雅黑" w:eastAsia="微软雅黑" w:hAnsi="微软雅黑" w:cs="宋体"/>
                <w:kern w:val="0"/>
                <w:sz w:val="18"/>
                <w:szCs w:val="18"/>
              </w:rPr>
              <w:t>C1131220000992</w:t>
            </w:r>
          </w:p>
        </w:tc>
      </w:tr>
      <w:tr w:rsidR="004E4FD8" w:rsidRPr="00537BBB" w:rsidTr="00BE460C">
        <w:trPr>
          <w:trHeight w:val="587"/>
        </w:trPr>
        <w:tc>
          <w:tcPr>
            <w:tcW w:w="2340" w:type="dxa"/>
            <w:tcBorders>
              <w:top w:val="nil"/>
              <w:left w:val="single" w:sz="12" w:space="0" w:color="auto"/>
              <w:bottom w:val="single" w:sz="2" w:space="0" w:color="auto"/>
              <w:right w:val="single" w:sz="4"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产品类型</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widowControl/>
              <w:spacing w:before="100" w:beforeAutospacing="1" w:after="100" w:afterAutospacing="1" w:line="326" w:lineRule="atLeast"/>
              <w:jc w:val="center"/>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开放式净值型</w:t>
            </w:r>
          </w:p>
        </w:tc>
      </w:tr>
      <w:tr w:rsidR="004E4FD8" w:rsidRPr="00537BBB" w:rsidTr="00BE460C">
        <w:trPr>
          <w:trHeight w:val="436"/>
        </w:trPr>
        <w:tc>
          <w:tcPr>
            <w:tcW w:w="2340" w:type="dxa"/>
            <w:tcBorders>
              <w:top w:val="single" w:sz="2" w:space="0" w:color="auto"/>
              <w:left w:val="single" w:sz="12" w:space="0" w:color="auto"/>
              <w:bottom w:val="single" w:sz="2" w:space="0" w:color="auto"/>
              <w:right w:val="single" w:sz="2"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产品分类</w:t>
            </w:r>
          </w:p>
        </w:tc>
        <w:tc>
          <w:tcPr>
            <w:tcW w:w="6480" w:type="dxa"/>
            <w:tcBorders>
              <w:top w:val="single" w:sz="4" w:space="0" w:color="auto"/>
              <w:left w:val="single" w:sz="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widowControl/>
              <w:spacing w:before="100" w:beforeAutospacing="1" w:after="100" w:afterAutospacing="1" w:line="326" w:lineRule="atLeast"/>
              <w:jc w:val="center"/>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固定收益类</w:t>
            </w:r>
          </w:p>
        </w:tc>
      </w:tr>
      <w:tr w:rsidR="004E4FD8" w:rsidRPr="00537BBB" w:rsidTr="00BE460C">
        <w:trPr>
          <w:trHeight w:val="436"/>
        </w:trPr>
        <w:tc>
          <w:tcPr>
            <w:tcW w:w="2340" w:type="dxa"/>
            <w:tcBorders>
              <w:top w:val="single" w:sz="2" w:space="0" w:color="auto"/>
              <w:left w:val="single" w:sz="12" w:space="0" w:color="auto"/>
              <w:bottom w:val="single" w:sz="2" w:space="0" w:color="auto"/>
              <w:right w:val="single" w:sz="2"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lastRenderedPageBreak/>
              <w:t>产品风险评级</w:t>
            </w:r>
          </w:p>
        </w:tc>
        <w:tc>
          <w:tcPr>
            <w:tcW w:w="6480" w:type="dxa"/>
            <w:tcBorders>
              <w:top w:val="single" w:sz="4" w:space="0" w:color="auto"/>
              <w:left w:val="single" w:sz="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widowControl/>
              <w:spacing w:line="300" w:lineRule="exact"/>
              <w:ind w:firstLine="482"/>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根据广州农商银行理财产品风险评级，本产品为</w:t>
            </w:r>
            <w:r w:rsidRPr="00276308">
              <w:rPr>
                <w:rFonts w:ascii="微软雅黑" w:eastAsia="微软雅黑" w:hAnsi="微软雅黑" w:cs="宋体" w:hint="eastAsia"/>
                <w:b/>
                <w:kern w:val="0"/>
                <w:sz w:val="18"/>
                <w:szCs w:val="18"/>
              </w:rPr>
              <w:t>PR2（中低风险）</w:t>
            </w:r>
            <w:r w:rsidRPr="00276308">
              <w:rPr>
                <w:rFonts w:ascii="微软雅黑" w:eastAsia="微软雅黑" w:hAnsi="微软雅黑" w:cs="宋体" w:hint="eastAsia"/>
                <w:kern w:val="0"/>
                <w:sz w:val="18"/>
                <w:szCs w:val="18"/>
              </w:rPr>
              <w:t>理财产品（理财产品风险评级为：PR1级（低风险）、PR2级（中低风险）、PR3级（中风险）、PR4级（中高风险）、PR5级（高风险））</w:t>
            </w:r>
          </w:p>
          <w:p w:rsidR="004E4FD8" w:rsidRPr="00276308" w:rsidRDefault="004E4FD8" w:rsidP="004E4FD8">
            <w:pPr>
              <w:widowControl/>
              <w:spacing w:line="300" w:lineRule="exact"/>
              <w:ind w:firstLine="482"/>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（本产品的风险评级仅是广州农商银行内部测评结果，仅供客户参考）</w:t>
            </w:r>
          </w:p>
        </w:tc>
      </w:tr>
      <w:tr w:rsidR="004E4FD8" w:rsidRPr="00537BBB" w:rsidTr="00BE460C">
        <w:trPr>
          <w:trHeight w:val="436"/>
        </w:trPr>
        <w:tc>
          <w:tcPr>
            <w:tcW w:w="2340" w:type="dxa"/>
            <w:tcBorders>
              <w:top w:val="single" w:sz="2" w:space="0" w:color="auto"/>
              <w:left w:val="single" w:sz="12" w:space="0" w:color="auto"/>
              <w:bottom w:val="single" w:sz="2" w:space="0" w:color="auto"/>
              <w:right w:val="single" w:sz="2"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适合客户类型</w:t>
            </w:r>
          </w:p>
        </w:tc>
        <w:tc>
          <w:tcPr>
            <w:tcW w:w="6480" w:type="dxa"/>
            <w:tcBorders>
              <w:top w:val="single" w:sz="4" w:space="0" w:color="auto"/>
              <w:left w:val="single" w:sz="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widowControl/>
              <w:spacing w:line="300" w:lineRule="exact"/>
              <w:ind w:firstLine="482"/>
              <w:rPr>
                <w:rFonts w:ascii="宋体" w:hAnsi="宋体" w:cs="宋体"/>
                <w:b/>
                <w:bCs/>
                <w:kern w:val="0"/>
                <w:sz w:val="24"/>
              </w:rPr>
            </w:pPr>
            <w:r w:rsidRPr="00276308">
              <w:rPr>
                <w:rFonts w:ascii="微软雅黑" w:eastAsia="微软雅黑" w:hAnsi="微软雅黑" w:cs="宋体" w:hint="eastAsia"/>
                <w:kern w:val="0"/>
                <w:sz w:val="18"/>
                <w:szCs w:val="18"/>
              </w:rPr>
              <w:t>经广州农村商业银行客户风险承受能力评估为稳健型及以上的投资者。</w:t>
            </w:r>
          </w:p>
        </w:tc>
      </w:tr>
      <w:tr w:rsidR="004E4FD8" w:rsidRPr="00537BBB" w:rsidTr="00BE460C">
        <w:trPr>
          <w:trHeight w:val="436"/>
        </w:trPr>
        <w:tc>
          <w:tcPr>
            <w:tcW w:w="2340" w:type="dxa"/>
            <w:tcBorders>
              <w:top w:val="single" w:sz="2" w:space="0" w:color="auto"/>
              <w:left w:val="single" w:sz="12" w:space="0" w:color="auto"/>
              <w:bottom w:val="single" w:sz="2" w:space="0" w:color="auto"/>
              <w:right w:val="single" w:sz="2"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本金及收益币种</w:t>
            </w:r>
          </w:p>
        </w:tc>
        <w:tc>
          <w:tcPr>
            <w:tcW w:w="6480" w:type="dxa"/>
            <w:tcBorders>
              <w:top w:val="single" w:sz="4" w:space="0" w:color="auto"/>
              <w:left w:val="single" w:sz="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人民币</w:t>
            </w:r>
          </w:p>
        </w:tc>
      </w:tr>
      <w:tr w:rsidR="004E4FD8" w:rsidRPr="00537BBB" w:rsidTr="00BE460C">
        <w:trPr>
          <w:trHeight w:val="444"/>
        </w:trPr>
        <w:tc>
          <w:tcPr>
            <w:tcW w:w="234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发行规模</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widowControl/>
              <w:spacing w:before="100" w:beforeAutospacing="1" w:after="100" w:afterAutospacing="1" w:line="326" w:lineRule="atLeast"/>
              <w:jc w:val="center"/>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发行规模不设下限，发行规模上限不定期公布</w:t>
            </w:r>
          </w:p>
        </w:tc>
      </w:tr>
      <w:tr w:rsidR="004E4FD8" w:rsidRPr="00537BBB" w:rsidTr="00BE460C">
        <w:trPr>
          <w:trHeight w:val="444"/>
        </w:trPr>
        <w:tc>
          <w:tcPr>
            <w:tcW w:w="234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投资期限</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widowControl/>
              <w:spacing w:before="100" w:beforeAutospacing="1" w:after="100" w:afterAutospacing="1" w:line="326" w:lineRule="atLeast"/>
              <w:jc w:val="center"/>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本理财产品将持续运作，无固定期限</w:t>
            </w:r>
          </w:p>
        </w:tc>
      </w:tr>
      <w:tr w:rsidR="004E4FD8" w:rsidRPr="00537BBB" w:rsidTr="00BE460C">
        <w:trPr>
          <w:trHeight w:val="438"/>
        </w:trPr>
        <w:tc>
          <w:tcPr>
            <w:tcW w:w="234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投资到期日</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4E4FD8" w:rsidRPr="00276308" w:rsidRDefault="004E4FD8" w:rsidP="004E4FD8">
            <w:pPr>
              <w:widowControl/>
              <w:spacing w:before="100" w:beforeAutospacing="1" w:after="100" w:afterAutospacing="1" w:line="326" w:lineRule="atLeast"/>
              <w:jc w:val="center"/>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2099年12月31日</w:t>
            </w:r>
          </w:p>
        </w:tc>
      </w:tr>
      <w:tr w:rsidR="004E4FD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募集期</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4E4FD8" w:rsidRPr="00276308" w:rsidRDefault="00526AAA" w:rsidP="004E4FD8">
            <w:pPr>
              <w:widowControl/>
              <w:spacing w:line="326" w:lineRule="atLeast"/>
              <w:jc w:val="center"/>
              <w:rPr>
                <w:rFonts w:ascii="黑体" w:eastAsia="黑体"/>
                <w:szCs w:val="21"/>
              </w:rPr>
            </w:pPr>
            <w:r w:rsidRPr="00831E22">
              <w:rPr>
                <w:rFonts w:ascii="微软雅黑" w:eastAsia="微软雅黑" w:hAnsi="微软雅黑" w:cs="宋体" w:hint="eastAsia"/>
                <w:kern w:val="0"/>
                <w:sz w:val="18"/>
                <w:szCs w:val="18"/>
              </w:rPr>
              <w:t>2020年10月13日-2020年10月19日</w:t>
            </w:r>
          </w:p>
        </w:tc>
      </w:tr>
      <w:tr w:rsidR="004E4FD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4E4FD8" w:rsidRPr="00537BBB" w:rsidRDefault="004E4FD8" w:rsidP="004E4FD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产品不成立</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4E4FD8" w:rsidRPr="00276308" w:rsidRDefault="004E4FD8" w:rsidP="004E4FD8">
            <w:pPr>
              <w:spacing w:line="300" w:lineRule="exact"/>
              <w:ind w:firstLineChars="200" w:firstLine="360"/>
              <w:rPr>
                <w:rFonts w:ascii="微软雅黑" w:eastAsia="微软雅黑" w:hAnsi="微软雅黑" w:cs="宋体"/>
                <w:kern w:val="0"/>
                <w:sz w:val="18"/>
                <w:szCs w:val="18"/>
              </w:rPr>
            </w:pPr>
            <w:r w:rsidRPr="00276308">
              <w:rPr>
                <w:rFonts w:ascii="微软雅黑" w:eastAsia="微软雅黑" w:hAnsi="微软雅黑" w:cs="宋体" w:hint="eastAsia"/>
                <w:kern w:val="0"/>
                <w:sz w:val="18"/>
                <w:szCs w:val="18"/>
              </w:rPr>
              <w:t>募集期结束，若市场发生重大变化，广州农商银行无法或者经其合理判断难以按照本理财产品说明书向投资者提供本理财产品；或者法律法规、监管规定、国家政策发生变化导致无法按照本理财产品说明书向投资者提供本理财产品的，广州农商银行有权宣布本理财产品不成立。</w:t>
            </w:r>
          </w:p>
          <w:p w:rsidR="004E4FD8" w:rsidRPr="00276308" w:rsidRDefault="004E4FD8" w:rsidP="004E4FD8">
            <w:pPr>
              <w:spacing w:line="300" w:lineRule="exact"/>
              <w:ind w:firstLineChars="200" w:firstLine="360"/>
              <w:rPr>
                <w:rFonts w:ascii="宋体" w:hAnsi="宋体" w:cs="宋体"/>
                <w:b/>
                <w:bCs/>
                <w:kern w:val="0"/>
                <w:szCs w:val="21"/>
              </w:rPr>
            </w:pPr>
            <w:r w:rsidRPr="00276308">
              <w:rPr>
                <w:rFonts w:ascii="微软雅黑" w:eastAsia="微软雅黑" w:hAnsi="微软雅黑" w:cs="宋体" w:hint="eastAsia"/>
                <w:kern w:val="0"/>
                <w:sz w:val="18"/>
                <w:szCs w:val="18"/>
              </w:rPr>
              <w:t>如理财产品不成立的，广州农商银行将于募集期结束后的第1个工作日通过官方网站、营业网点等渠道发布本理财产品不成立的公告，并于原定成立日后2个工作日内将已募集资金及自认购确认日至退回资金到账日期间的利息（按每日挂牌活期存款利率计算）一并退回投资者指定账户。</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bookmarkStart w:id="0" w:name="_GoBack" w:colFirst="1" w:colLast="1"/>
            <w:r w:rsidRPr="00537BBB">
              <w:rPr>
                <w:rFonts w:ascii="微软雅黑" w:eastAsia="微软雅黑" w:hAnsi="微软雅黑" w:cs="宋体" w:hint="eastAsia"/>
                <w:color w:val="000000" w:themeColor="text1"/>
                <w:kern w:val="0"/>
                <w:sz w:val="18"/>
                <w:szCs w:val="18"/>
              </w:rPr>
              <w:t>产品成立日</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526AAA" w:rsidRPr="00831E22" w:rsidRDefault="00526AAA" w:rsidP="00526AAA">
            <w:pPr>
              <w:ind w:firstLine="480"/>
              <w:jc w:val="center"/>
              <w:textAlignment w:val="bottom"/>
              <w:rPr>
                <w:rFonts w:ascii="微软雅黑" w:eastAsia="微软雅黑" w:hAnsi="微软雅黑" w:cs="宋体"/>
                <w:kern w:val="0"/>
                <w:sz w:val="18"/>
                <w:szCs w:val="18"/>
              </w:rPr>
            </w:pPr>
            <w:r w:rsidRPr="00831E22">
              <w:rPr>
                <w:rFonts w:ascii="微软雅黑" w:eastAsia="微软雅黑" w:hAnsi="微软雅黑" w:cs="宋体" w:hint="eastAsia"/>
                <w:kern w:val="0"/>
                <w:sz w:val="18"/>
                <w:szCs w:val="18"/>
              </w:rPr>
              <w:t>2020年10月20日</w:t>
            </w:r>
          </w:p>
          <w:p w:rsidR="00526AAA" w:rsidRPr="00831E22" w:rsidRDefault="00526AAA" w:rsidP="00526AAA">
            <w:pPr>
              <w:ind w:firstLine="480"/>
              <w:jc w:val="center"/>
              <w:textAlignment w:val="bottom"/>
              <w:rPr>
                <w:rFonts w:ascii="黑体" w:eastAsia="黑体"/>
                <w:szCs w:val="21"/>
              </w:rPr>
            </w:pPr>
            <w:r w:rsidRPr="00831E22">
              <w:rPr>
                <w:rFonts w:ascii="微软雅黑" w:eastAsia="微软雅黑" w:hAnsi="微软雅黑" w:cs="宋体" w:hint="eastAsia"/>
                <w:kern w:val="0"/>
                <w:sz w:val="18"/>
                <w:szCs w:val="18"/>
              </w:rPr>
              <w:t>如遇非工作日(双休日及节假日)则顺延至下一个工作日</w:t>
            </w:r>
          </w:p>
        </w:tc>
      </w:tr>
      <w:bookmarkEnd w:id="0"/>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工作日/交易日</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Pr="00831E22" w:rsidRDefault="00526AAA" w:rsidP="00526AAA">
            <w:pPr>
              <w:widowControl/>
              <w:spacing w:before="100" w:beforeAutospacing="1" w:after="100" w:afterAutospacing="1" w:line="326" w:lineRule="atLeast"/>
              <w:jc w:val="center"/>
              <w:rPr>
                <w:rFonts w:ascii="微软雅黑" w:eastAsia="微软雅黑" w:hAnsi="微软雅黑" w:cs="宋体"/>
                <w:kern w:val="0"/>
                <w:sz w:val="18"/>
                <w:szCs w:val="18"/>
              </w:rPr>
            </w:pPr>
            <w:r w:rsidRPr="00831E22">
              <w:rPr>
                <w:rFonts w:ascii="微软雅黑" w:eastAsia="微软雅黑" w:hAnsi="微软雅黑" w:cs="宋体" w:hint="eastAsia"/>
                <w:kern w:val="0"/>
                <w:sz w:val="18"/>
                <w:szCs w:val="18"/>
              </w:rPr>
              <w:t>指上海证券交易所和深圳证券交易所的交易日，且同时为银行工作日。</w:t>
            </w:r>
          </w:p>
        </w:tc>
      </w:tr>
      <w:tr w:rsidR="00526AAA" w:rsidRPr="00537BBB" w:rsidTr="00DD5E12">
        <w:trPr>
          <w:trHeight w:val="643"/>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首次开放日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Pr="00831E22" w:rsidRDefault="00526AAA" w:rsidP="00526AAA">
            <w:pPr>
              <w:widowControl/>
              <w:spacing w:line="326" w:lineRule="atLeast"/>
              <w:ind w:firstLine="0"/>
              <w:jc w:val="center"/>
              <w:rPr>
                <w:rFonts w:ascii="微软雅黑" w:eastAsia="微软雅黑" w:hAnsi="微软雅黑" w:cs="宋体"/>
                <w:kern w:val="0"/>
                <w:sz w:val="18"/>
                <w:szCs w:val="18"/>
              </w:rPr>
            </w:pPr>
            <w:r w:rsidRPr="00831E22">
              <w:rPr>
                <w:rFonts w:ascii="微软雅黑" w:eastAsia="微软雅黑" w:hAnsi="微软雅黑" w:cs="宋体" w:hint="eastAsia"/>
                <w:kern w:val="0"/>
                <w:sz w:val="18"/>
                <w:szCs w:val="18"/>
              </w:rPr>
              <w:t>2021年4月16日</w:t>
            </w:r>
          </w:p>
          <w:p w:rsidR="00526AAA" w:rsidRPr="00831E22" w:rsidRDefault="00526AAA" w:rsidP="00526AAA">
            <w:pPr>
              <w:widowControl/>
              <w:spacing w:line="300" w:lineRule="exact"/>
              <w:ind w:firstLine="422"/>
              <w:jc w:val="center"/>
              <w:rPr>
                <w:rFonts w:ascii="微软雅黑" w:eastAsia="微软雅黑" w:hAnsi="微软雅黑" w:cs="宋体"/>
                <w:kern w:val="0"/>
                <w:sz w:val="18"/>
                <w:szCs w:val="18"/>
              </w:rPr>
            </w:pPr>
            <w:r w:rsidRPr="00831E22">
              <w:rPr>
                <w:rFonts w:ascii="微软雅黑" w:eastAsia="微软雅黑" w:hAnsi="微软雅黑" w:cs="宋体" w:hint="eastAsia"/>
                <w:kern w:val="0"/>
                <w:sz w:val="18"/>
                <w:szCs w:val="18"/>
              </w:rPr>
              <w:t>如遇非工作日(双休日及节假日)则顺延至下一个工作日</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开放日及开放时间</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Pr="00831E22" w:rsidRDefault="00526AAA" w:rsidP="00526AAA">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831E22">
              <w:rPr>
                <w:rFonts w:ascii="微软雅黑" w:eastAsia="微软雅黑" w:hAnsi="微软雅黑" w:cs="宋体" w:hint="eastAsia"/>
                <w:kern w:val="0"/>
                <w:sz w:val="18"/>
                <w:szCs w:val="18"/>
              </w:rPr>
              <w:t xml:space="preserve">1. </w:t>
            </w:r>
            <w:r w:rsidRPr="00831E22">
              <w:rPr>
                <w:rFonts w:ascii="微软雅黑" w:eastAsia="微软雅黑" w:hAnsi="微软雅黑" w:cs="宋体" w:hint="eastAsia"/>
                <w:b/>
                <w:kern w:val="0"/>
                <w:sz w:val="18"/>
                <w:szCs w:val="18"/>
              </w:rPr>
              <w:t>每年4月、10月的16日</w:t>
            </w:r>
            <w:r w:rsidRPr="00831E22">
              <w:rPr>
                <w:rFonts w:ascii="微软雅黑" w:eastAsia="微软雅黑" w:hAnsi="微软雅黑" w:cs="宋体" w:hint="eastAsia"/>
                <w:kern w:val="0"/>
                <w:sz w:val="18"/>
                <w:szCs w:val="18"/>
              </w:rPr>
              <w:t xml:space="preserve">为理财产品申购（即约定购买，以下简称申购）、赎回（即约定赎回，以下简称赎回）的开放日。 </w:t>
            </w:r>
            <w:r w:rsidRPr="00831E22">
              <w:rPr>
                <w:rFonts w:ascii="微软雅黑" w:eastAsia="微软雅黑" w:hAnsi="微软雅黑" w:cs="宋体" w:hint="eastAsia"/>
                <w:kern w:val="0"/>
                <w:sz w:val="18"/>
                <w:szCs w:val="18"/>
              </w:rPr>
              <w:br/>
              <w:t xml:space="preserve">    2. 办理时间为开放日的9:00-17:00。</w:t>
            </w:r>
            <w:r w:rsidRPr="00831E22">
              <w:rPr>
                <w:rFonts w:ascii="微软雅黑" w:eastAsia="微软雅黑" w:hAnsi="微软雅黑" w:cs="宋体" w:hint="eastAsia"/>
                <w:kern w:val="0"/>
                <w:sz w:val="18"/>
                <w:szCs w:val="18"/>
              </w:rPr>
              <w:br/>
            </w:r>
            <w:r w:rsidR="001F21D2">
              <w:rPr>
                <w:rFonts w:ascii="微软雅黑" w:eastAsia="微软雅黑" w:hAnsi="微软雅黑" w:cs="宋体" w:hint="eastAsia"/>
                <w:kern w:val="0"/>
                <w:sz w:val="18"/>
                <w:szCs w:val="18"/>
              </w:rPr>
              <w:t xml:space="preserve">    </w:t>
            </w:r>
            <w:r w:rsidRPr="00831E22">
              <w:rPr>
                <w:rFonts w:ascii="微软雅黑" w:eastAsia="微软雅黑" w:hAnsi="微软雅黑" w:cs="宋体" w:hint="eastAsia"/>
                <w:kern w:val="0"/>
                <w:sz w:val="18"/>
                <w:szCs w:val="18"/>
              </w:rPr>
              <w:t>3. 开放日如遇非工作日(双休日及节假日)则顺延至下一个工作日。银行有权在特殊情形下调整按上述规则确定的开放日，银行将在调整之前进行公告。</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申购、赎回方式</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Pr="00067A27" w:rsidRDefault="00526AAA" w:rsidP="00526AAA">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067A27">
              <w:rPr>
                <w:rFonts w:ascii="微软雅黑" w:eastAsia="微软雅黑" w:hAnsi="微软雅黑" w:cs="宋体" w:hint="eastAsia"/>
                <w:kern w:val="0"/>
                <w:sz w:val="18"/>
                <w:szCs w:val="18"/>
              </w:rPr>
              <w:t>开放日的开放时间内接受申购、赎回申请</w:t>
            </w:r>
          </w:p>
        </w:tc>
      </w:tr>
      <w:tr w:rsidR="00526AAA" w:rsidRPr="00537BBB" w:rsidTr="00AC3BF7">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ind w:firstLineChars="350" w:firstLine="63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预约申购</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Pr="00694E69" w:rsidRDefault="00526AAA" w:rsidP="00526AAA">
            <w:pPr>
              <w:widowControl/>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1. 产品支持预约申购。</w:t>
            </w:r>
          </w:p>
          <w:p w:rsidR="00526AAA" w:rsidRPr="00694E69" w:rsidRDefault="00526AAA" w:rsidP="00526AAA">
            <w:pPr>
              <w:widowControl/>
              <w:spacing w:line="326" w:lineRule="atLeast"/>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2. 产品开放日的前7个工作日（含）至开放日前一日为产品预约申购期，投资者可以在预约申购期首日的9点至末日17点提交预约申购申请。</w:t>
            </w:r>
          </w:p>
          <w:p w:rsidR="00526AAA" w:rsidRPr="00694E69" w:rsidRDefault="00526AAA" w:rsidP="00526AAA">
            <w:pPr>
              <w:widowControl/>
              <w:spacing w:line="326" w:lineRule="atLeast"/>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3. 广州农商银行可根据资产运作情况、节假日安排等因素调整预约申购期，具体日期以官方渠道披露信息为准.。</w:t>
            </w:r>
          </w:p>
          <w:p w:rsidR="00526AAA" w:rsidRPr="00694E69" w:rsidRDefault="00526AAA" w:rsidP="00526AAA">
            <w:pPr>
              <w:widowControl/>
              <w:spacing w:line="326" w:lineRule="atLeast"/>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4. 预约申购申请将在开放日转为申购申请。</w:t>
            </w:r>
          </w:p>
          <w:p w:rsidR="00526AAA" w:rsidRPr="00694E69" w:rsidRDefault="00526AAA" w:rsidP="00526AAA">
            <w:pPr>
              <w:widowControl/>
              <w:spacing w:line="326" w:lineRule="atLeast"/>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5. 已发起的预约申购可以在开放日9点前全额撤销。</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ind w:firstLineChars="350" w:firstLine="63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预约赎回</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Default="00526AAA" w:rsidP="00526AAA">
            <w:pPr>
              <w:widowControl/>
              <w:spacing w:before="100" w:beforeAutospacing="1" w:after="100" w:afterAutospacing="1" w:line="326" w:lineRule="atLeast"/>
              <w:ind w:leftChars="172" w:left="361" w:firstLine="0"/>
              <w:rPr>
                <w:rFonts w:ascii="微软雅黑" w:eastAsia="微软雅黑" w:hAnsi="微软雅黑" w:cs="宋体"/>
                <w:kern w:val="0"/>
                <w:sz w:val="18"/>
                <w:szCs w:val="18"/>
              </w:rPr>
            </w:pPr>
            <w:r>
              <w:rPr>
                <w:rFonts w:ascii="微软雅黑" w:eastAsia="微软雅黑" w:hAnsi="微软雅黑" w:cs="宋体" w:hint="eastAsia"/>
                <w:kern w:val="0"/>
                <w:sz w:val="18"/>
                <w:szCs w:val="18"/>
              </w:rPr>
              <w:t>1. 产品支持预约赎回。                                               2. 产品开放日（第T个）17点后至下个开放日（第T+1个）9点前发起的预约赎回将于下个开放日（第T+1个）转为赎回申请。                                     3. 已发起的预约赎回可以在最近一个开放日9点前全额撤销。</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lastRenderedPageBreak/>
              <w:t>申购确认</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Default="00526AAA" w:rsidP="00526AAA">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 T日购买，T+1日确认，T+1日扣款。确认扣款日若遇非工作日(双休日及节假日)顺延至下一工作日。 T日为开放日。 </w:t>
            </w:r>
            <w:r>
              <w:rPr>
                <w:rFonts w:ascii="微软雅黑" w:eastAsia="微软雅黑" w:hAnsi="微软雅黑" w:cs="宋体" w:hint="eastAsia"/>
                <w:kern w:val="0"/>
                <w:sz w:val="18"/>
                <w:szCs w:val="18"/>
              </w:rPr>
              <w:br/>
              <w:t xml:space="preserve">    2. 以T日的日终份额净值进行确认，按照“金额申购”的原则计算申购份额。</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赎回确认</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Default="00526AAA" w:rsidP="00526AAA">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Pr>
                <w:rFonts w:ascii="微软雅黑" w:eastAsia="微软雅黑" w:hAnsi="微软雅黑" w:cs="宋体" w:hint="eastAsia"/>
                <w:kern w:val="0"/>
                <w:sz w:val="18"/>
                <w:szCs w:val="18"/>
              </w:rPr>
              <w:t>投资者可于T日进行赎回，T+1日确认，赎回资金不晚于T+3日到账。到账日若遇非工作日(双休日及节假日)顺延至下一工作日。T日为开放日。</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认购/申购费/赎回费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Default="00526AAA" w:rsidP="00526AAA">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0%</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托管费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Default="00526AAA" w:rsidP="008F3174">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0.02%（年）</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销售手续费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Default="00526AAA" w:rsidP="001F21D2">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0.</w:t>
            </w:r>
            <w:r w:rsidR="001F21D2">
              <w:rPr>
                <w:rFonts w:ascii="微软雅黑" w:eastAsia="微软雅黑" w:hAnsi="微软雅黑" w:cs="宋体" w:hint="eastAsia"/>
                <w:kern w:val="0"/>
                <w:sz w:val="18"/>
                <w:szCs w:val="18"/>
              </w:rPr>
              <w:t>3</w:t>
            </w:r>
            <w:r>
              <w:rPr>
                <w:rFonts w:ascii="微软雅黑" w:eastAsia="微软雅黑" w:hAnsi="微软雅黑" w:cs="宋体" w:hint="eastAsia"/>
                <w:kern w:val="0"/>
                <w:sz w:val="18"/>
                <w:szCs w:val="18"/>
              </w:rPr>
              <w:t>%（年）</w:t>
            </w:r>
          </w:p>
        </w:tc>
      </w:tr>
      <w:tr w:rsidR="00526AAA"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26AAA" w:rsidRPr="00537BBB" w:rsidRDefault="00526AAA" w:rsidP="00526AAA">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固定管理费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526AAA" w:rsidRDefault="00526AAA" w:rsidP="008F3174">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0.1%（年）</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估值核算费</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Default="00DB6FCF" w:rsidP="008F3174">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0.004%</w:t>
            </w:r>
            <w:r w:rsidR="008F3174">
              <w:rPr>
                <w:rFonts w:ascii="微软雅黑" w:eastAsia="微软雅黑" w:hAnsi="微软雅黑" w:cs="宋体" w:hint="eastAsia"/>
                <w:kern w:val="0"/>
                <w:sz w:val="18"/>
                <w:szCs w:val="18"/>
              </w:rPr>
              <w:t>（年）</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浮动管理费</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DB6FCF" w:rsidRPr="000A5821" w:rsidRDefault="00DB6FCF" w:rsidP="00DB6FCF">
            <w:pPr>
              <w:widowControl/>
              <w:numPr>
                <w:ilvl w:val="0"/>
                <w:numId w:val="9"/>
              </w:numPr>
              <w:spacing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广州农商银行有权收取浮动管理费。</w:t>
            </w:r>
          </w:p>
          <w:p w:rsidR="00DB6FCF" w:rsidRPr="000A5821" w:rsidRDefault="00DB6FCF" w:rsidP="00DB6FCF">
            <w:pPr>
              <w:widowControl/>
              <w:numPr>
                <w:ilvl w:val="0"/>
                <w:numId w:val="9"/>
              </w:numPr>
              <w:spacing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当周期年化收益率超过业绩比较基准时，管理人将有权收取浮动管理费。</w:t>
            </w:r>
          </w:p>
          <w:p w:rsidR="00DB6FCF" w:rsidRDefault="00DB6FCF" w:rsidP="00DB6FCF">
            <w:pPr>
              <w:widowControl/>
              <w:numPr>
                <w:ilvl w:val="0"/>
                <w:numId w:val="9"/>
              </w:numPr>
              <w:spacing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浮动管理费在每个开放日进行计提。</w:t>
            </w:r>
          </w:p>
          <w:p w:rsidR="003B4468" w:rsidRPr="00DB6FCF" w:rsidRDefault="00DB6FCF" w:rsidP="00DB6FCF">
            <w:pPr>
              <w:widowControl/>
              <w:numPr>
                <w:ilvl w:val="0"/>
                <w:numId w:val="9"/>
              </w:numPr>
              <w:spacing w:line="326" w:lineRule="atLeast"/>
              <w:rPr>
                <w:rFonts w:ascii="微软雅黑" w:eastAsia="微软雅黑" w:hAnsi="微软雅黑" w:cs="宋体"/>
                <w:kern w:val="0"/>
                <w:sz w:val="18"/>
                <w:szCs w:val="18"/>
              </w:rPr>
            </w:pPr>
            <w:r w:rsidRPr="00DB6FCF">
              <w:rPr>
                <w:rFonts w:ascii="微软雅黑" w:eastAsia="微软雅黑" w:hAnsi="微软雅黑" w:cs="宋体" w:hint="eastAsia"/>
                <w:kern w:val="0"/>
                <w:sz w:val="18"/>
                <w:szCs w:val="18"/>
              </w:rPr>
              <w:t>详见产品费用说明。</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EC628D" w:rsidRDefault="003B4468" w:rsidP="003B4468">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认购、申购起点金额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Default="003B4468" w:rsidP="003B4468">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1万元起购，以1万元的整数倍递增。 </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EC628D" w:rsidRDefault="003B4468" w:rsidP="003B4468">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追加购买最低金额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Default="003B4468" w:rsidP="003B4468">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1万元，以1万元的整数倍追加 </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EC628D" w:rsidRDefault="003B4468" w:rsidP="003B4468">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单笔赎回最低份额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Default="003B4468" w:rsidP="003B4468">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1万份，以1万份的整数倍追加 </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C5984" w:rsidP="003B446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EC628D">
              <w:rPr>
                <w:rFonts w:ascii="微软雅黑" w:eastAsia="微软雅黑" w:hAnsi="微软雅黑" w:cs="宋体" w:hint="eastAsia"/>
                <w:kern w:val="0"/>
                <w:sz w:val="18"/>
                <w:szCs w:val="18"/>
              </w:rPr>
              <w:t>部分赎回最低保留份额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Default="003B4468" w:rsidP="003B4468">
            <w:pPr>
              <w:widowControl/>
              <w:spacing w:before="100" w:beforeAutospacing="1" w:after="100" w:afterAutospacing="1" w:line="326"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1万份</w:t>
            </w:r>
          </w:p>
        </w:tc>
      </w:tr>
      <w:tr w:rsidR="003C5984"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份额净值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份额净值为提取相关费用后的单位理财产品份额净值，投资者按该份额净值进行申购、赎回和终止时的分配。份额净值的计算保留到小数点后4位，小数点后第5位四舍五入。 </w:t>
            </w:r>
          </w:p>
        </w:tc>
      </w:tr>
      <w:tr w:rsidR="003C5984"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认购份额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认购份额=认购金额/1元，认购份额数保留到小数点后2位，小数点后第三位舍去。 </w:t>
            </w:r>
          </w:p>
        </w:tc>
      </w:tr>
      <w:tr w:rsidR="003C5984"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申购份额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申购确认份额＝申购金额/申购确认日上一工作日净值（已扣除相关费用）</w:t>
            </w:r>
          </w:p>
          <w:p w:rsidR="003C5984" w:rsidRPr="00EC628D" w:rsidRDefault="003C5984" w:rsidP="003C5984">
            <w:pPr>
              <w:widowControl/>
              <w:spacing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若遇非工作日(双休日及节假日)顺延至下一工作日</w:t>
            </w:r>
          </w:p>
        </w:tc>
      </w:tr>
      <w:tr w:rsidR="003C5984" w:rsidRPr="00537BBB" w:rsidTr="0086097F">
        <w:trPr>
          <w:trHeight w:val="709"/>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赎回规定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本理财产品采取份额赎回的方式，赎回额需为1万份的整数倍。投资者可选择全额或部分赎回。 </w:t>
            </w:r>
          </w:p>
        </w:tc>
      </w:tr>
      <w:tr w:rsidR="003C5984"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C5984" w:rsidRPr="00EC628D" w:rsidRDefault="003C5984" w:rsidP="008F3174">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赎回金额的计算</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C5984" w:rsidRPr="00EC628D" w:rsidRDefault="003C5984" w:rsidP="003C5984">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赎回确认金额＝赎回份额×赎回确认日上一工作日净值（已扣除相关费用），保留到小数点后2位，小数点后第三位舍去。 如果是部分赎回，赎回交易确认金额为当日赎回份额按上一工作日净值计算的金额；如果是全部赎回，赎回交易确认金额为全部份额按上一工作日净值计算的金额。</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撤销规定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Pr="00537BBB" w:rsidRDefault="003B4468" w:rsidP="003B4468">
            <w:pPr>
              <w:numPr>
                <w:ilvl w:val="0"/>
                <w:numId w:val="8"/>
              </w:numPr>
              <w:spacing w:line="300" w:lineRule="exac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募集期认购撤销 </w:t>
            </w:r>
          </w:p>
          <w:p w:rsidR="003B4468" w:rsidRPr="00537BBB" w:rsidRDefault="003B4468" w:rsidP="003B4468">
            <w:pPr>
              <w:spacing w:line="300" w:lineRule="exact"/>
              <w:ind w:firstLineChars="200" w:firstLine="36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产品募集期间，投资者可对已提交的认购申请进行撤销，具体规定如下： </w:t>
            </w:r>
            <w:r w:rsidRPr="00537BBB">
              <w:rPr>
                <w:rFonts w:ascii="微软雅黑" w:eastAsia="微软雅黑" w:hAnsi="微软雅黑" w:cs="宋体" w:hint="eastAsia"/>
                <w:color w:val="000000" w:themeColor="text1"/>
                <w:kern w:val="0"/>
                <w:sz w:val="18"/>
                <w:szCs w:val="18"/>
              </w:rPr>
              <w:br/>
              <w:t xml:space="preserve">    (1)只能全额撤销。 </w:t>
            </w:r>
            <w:r w:rsidRPr="00537BBB">
              <w:rPr>
                <w:rFonts w:ascii="微软雅黑" w:eastAsia="微软雅黑" w:hAnsi="微软雅黑" w:cs="宋体" w:hint="eastAsia"/>
                <w:color w:val="000000" w:themeColor="text1"/>
                <w:kern w:val="0"/>
                <w:sz w:val="18"/>
                <w:szCs w:val="18"/>
              </w:rPr>
              <w:br/>
              <w:t xml:space="preserve">    (2)募集期最后一日17:00之后不能进行撤销。 </w:t>
            </w:r>
          </w:p>
          <w:p w:rsidR="003B4468" w:rsidRPr="00537BBB" w:rsidRDefault="003B4468" w:rsidP="003B4468">
            <w:pPr>
              <w:spacing w:line="300" w:lineRule="exact"/>
              <w:ind w:leftChars="172" w:left="361" w:firstLine="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2.  开放日申购、赎回撤销 </w:t>
            </w:r>
            <w:r w:rsidRPr="00537BBB">
              <w:rPr>
                <w:rFonts w:ascii="微软雅黑" w:eastAsia="微软雅黑" w:hAnsi="微软雅黑" w:cs="宋体" w:hint="eastAsia"/>
                <w:color w:val="000000" w:themeColor="text1"/>
                <w:kern w:val="0"/>
                <w:sz w:val="18"/>
                <w:szCs w:val="18"/>
              </w:rPr>
              <w:br/>
              <w:t xml:space="preserve">产品开放期间，投资者可对已提交的申购、赎回申请进行撤销，具体规定如下： </w:t>
            </w:r>
            <w:r w:rsidRPr="00537BBB">
              <w:rPr>
                <w:rFonts w:ascii="微软雅黑" w:eastAsia="微软雅黑" w:hAnsi="微软雅黑" w:cs="宋体" w:hint="eastAsia"/>
                <w:color w:val="000000" w:themeColor="text1"/>
                <w:kern w:val="0"/>
                <w:sz w:val="18"/>
                <w:szCs w:val="18"/>
              </w:rPr>
              <w:br/>
              <w:t xml:space="preserve">(1)只能全额撤销。 </w:t>
            </w:r>
          </w:p>
          <w:p w:rsidR="003B4468" w:rsidRPr="00537BBB" w:rsidRDefault="003B4468" w:rsidP="003B4468">
            <w:pPr>
              <w:spacing w:line="300" w:lineRule="exact"/>
              <w:ind w:firstLineChars="200" w:firstLine="360"/>
              <w:rPr>
                <w:rFonts w:ascii="宋体" w:hAnsi="宋体" w:cs="宋体"/>
                <w:b/>
                <w:bCs/>
                <w:color w:val="000000" w:themeColor="text1"/>
                <w:kern w:val="0"/>
                <w:szCs w:val="21"/>
              </w:rPr>
            </w:pPr>
            <w:r w:rsidRPr="00537BBB">
              <w:rPr>
                <w:rFonts w:ascii="微软雅黑" w:eastAsia="微软雅黑" w:hAnsi="微软雅黑" w:cs="宋体" w:hint="eastAsia"/>
                <w:color w:val="000000" w:themeColor="text1"/>
                <w:kern w:val="0"/>
                <w:sz w:val="18"/>
                <w:szCs w:val="18"/>
              </w:rPr>
              <w:lastRenderedPageBreak/>
              <w:t>(2)开放日T日17:00（含）之后不能进行撤销。</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ind w:firstLine="0"/>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lastRenderedPageBreak/>
              <w:t>认购/申购/赎回申请拒绝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ind w:firstLineChars="200" w:firstLine="36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广州农商银行根据理财产品实际投资运作的情况确定理财产品规模上限，认购/申购日若本理财产品实时余额达到理财产品规模上限，广州农商银行有权拒绝超过本理财产品规模上限部分的认购/申购申请。单个开放日中，本产品的净赎回申请金额超过上一交易日余额10%时，为巨额赎回。此时广州农商银行有权根据理财产品的资产组合状况决定接受赎回申请或拒绝赎回申请，直至本赎回日交易时间结束。 </w:t>
            </w:r>
          </w:p>
        </w:tc>
      </w:tr>
      <w:tr w:rsidR="003B4468" w:rsidRPr="00537BBB" w:rsidTr="00BE460C">
        <w:trPr>
          <w:trHeight w:val="150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ind w:firstLine="0"/>
              <w:rPr>
                <w:rFonts w:ascii="微软雅黑" w:eastAsia="微软雅黑" w:hAnsi="微软雅黑" w:cs="宋体"/>
                <w:b/>
                <w:color w:val="000000" w:themeColor="text1"/>
                <w:kern w:val="0"/>
                <w:sz w:val="18"/>
                <w:szCs w:val="18"/>
              </w:rPr>
            </w:pPr>
            <w:r w:rsidRPr="00537BBB">
              <w:rPr>
                <w:rFonts w:ascii="微软雅黑" w:eastAsia="微软雅黑" w:hAnsi="微软雅黑" w:cs="宋体" w:hint="eastAsia"/>
                <w:b/>
                <w:color w:val="000000" w:themeColor="text1"/>
                <w:kern w:val="0"/>
                <w:sz w:val="18"/>
                <w:szCs w:val="18"/>
              </w:rPr>
              <w:t>同类产品参考业绩比较基准</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Pr="00537BBB" w:rsidRDefault="003B4468" w:rsidP="003B4468">
            <w:pPr>
              <w:widowControl/>
              <w:ind w:firstLineChars="200" w:firstLine="36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1. 投资周期同类产品参考业绩比较基准为0%-10%（年化）；</w:t>
            </w:r>
          </w:p>
          <w:p w:rsidR="003B4468" w:rsidRPr="00537BBB" w:rsidRDefault="003B4468" w:rsidP="003B4468">
            <w:pPr>
              <w:widowControl/>
              <w:ind w:firstLineChars="200" w:firstLine="36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2. 产品首个投资周期同类产品参考业绩比较基准预计为：</w:t>
            </w:r>
            <w:r w:rsidRPr="00537BBB">
              <w:rPr>
                <w:rFonts w:ascii="微软雅黑" w:eastAsia="微软雅黑" w:hAnsi="微软雅黑" w:cs="宋体" w:hint="eastAsia"/>
                <w:b/>
                <w:color w:val="000000" w:themeColor="text1"/>
                <w:kern w:val="0"/>
                <w:sz w:val="18"/>
                <w:szCs w:val="18"/>
              </w:rPr>
              <w:t>4.20%</w:t>
            </w:r>
            <w:r w:rsidRPr="00537BBB">
              <w:rPr>
                <w:rFonts w:ascii="微软雅黑" w:eastAsia="微软雅黑" w:hAnsi="微软雅黑" w:cs="宋体" w:hint="eastAsia"/>
                <w:color w:val="000000" w:themeColor="text1"/>
                <w:kern w:val="0"/>
                <w:sz w:val="18"/>
                <w:szCs w:val="18"/>
              </w:rPr>
              <w:t>（年化）；</w:t>
            </w:r>
          </w:p>
          <w:p w:rsidR="003B4468" w:rsidRPr="00537BBB" w:rsidRDefault="003B4468" w:rsidP="003B4468">
            <w:pPr>
              <w:ind w:firstLineChars="200" w:firstLine="360"/>
              <w:rPr>
                <w:rFonts w:ascii="微软雅黑" w:eastAsia="微软雅黑" w:hAnsi="微软雅黑" w:cs="宋体"/>
                <w:b/>
                <w:color w:val="000000" w:themeColor="text1"/>
                <w:kern w:val="0"/>
                <w:sz w:val="18"/>
                <w:szCs w:val="18"/>
              </w:rPr>
            </w:pPr>
            <w:r w:rsidRPr="00537BBB">
              <w:rPr>
                <w:rFonts w:ascii="微软雅黑" w:eastAsia="微软雅黑" w:hAnsi="微软雅黑" w:cs="宋体" w:hint="eastAsia"/>
                <w:b/>
                <w:color w:val="000000" w:themeColor="text1"/>
                <w:kern w:val="0"/>
                <w:sz w:val="18"/>
                <w:szCs w:val="18"/>
              </w:rPr>
              <w:t>3. 同类产品参考业绩比较基准不是理财产品预期收益率，不代表投资者可能获得的实际收益，仅作为产品投资管理的业绩目标，并用于计算管理费用，不构成对本理财产品的任何收益承诺或担保。客户的实际收益由产品到期日的净值决定。</w:t>
            </w:r>
          </w:p>
          <w:p w:rsidR="003B4468" w:rsidRPr="00537BBB" w:rsidRDefault="003B4468" w:rsidP="003B4468">
            <w:pPr>
              <w:ind w:firstLineChars="200" w:firstLine="360"/>
              <w:rPr>
                <w:rFonts w:ascii="微软雅黑" w:eastAsia="微软雅黑" w:hAnsi="微软雅黑" w:cs="宋体"/>
                <w:b/>
                <w:color w:val="000000" w:themeColor="text1"/>
                <w:kern w:val="0"/>
                <w:sz w:val="18"/>
                <w:szCs w:val="18"/>
              </w:rPr>
            </w:pPr>
            <w:r w:rsidRPr="00537BBB">
              <w:rPr>
                <w:rFonts w:ascii="微软雅黑" w:eastAsia="微软雅黑" w:hAnsi="微软雅黑" w:cs="宋体" w:hint="eastAsia"/>
                <w:b/>
                <w:color w:val="000000" w:themeColor="text1"/>
                <w:kern w:val="0"/>
                <w:sz w:val="18"/>
                <w:szCs w:val="18"/>
              </w:rPr>
              <w:t>4.根据产品存续期投资市场波动的预判，按照本产品风险等级、投资方向与资产构成，以广州农商银行投资及风控策略为准则，并参考广州农商银行发行的同类型理财产品（运作期限、资产投向和投资策略类似的产品）过往业绩表现，确定本产品同类产品参考业绩比较基准。具体测算依据详见“六、产品收益测算”。</w:t>
            </w:r>
          </w:p>
          <w:p w:rsidR="003B4468" w:rsidRPr="00537BBB" w:rsidRDefault="003B4468" w:rsidP="003B4468">
            <w:pPr>
              <w:ind w:firstLineChars="200" w:firstLine="360"/>
              <w:rPr>
                <w:rFonts w:ascii="宋体" w:hAnsi="宋体" w:cs="宋体"/>
                <w:bCs/>
                <w:color w:val="000000" w:themeColor="text1"/>
                <w:kern w:val="0"/>
                <w:szCs w:val="21"/>
              </w:rPr>
            </w:pPr>
            <w:r w:rsidRPr="00537BBB">
              <w:rPr>
                <w:rFonts w:ascii="微软雅黑" w:eastAsia="微软雅黑" w:hAnsi="微软雅黑" w:cs="宋体" w:hint="eastAsia"/>
                <w:color w:val="000000" w:themeColor="text1"/>
                <w:kern w:val="0"/>
                <w:sz w:val="18"/>
                <w:szCs w:val="18"/>
              </w:rPr>
              <w:t>5.本产品后续同类产品参考业绩比较基准可根据市场情况进行调整，调整后的参考业绩比较基准将根据信息披露规则进行披露。</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份额净值公告日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ind w:firstLineChars="200" w:firstLine="36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开放日下一日为份额净值公告日，公告上一工作日（即开放日）份额净值（如遇非工作日则顺延至下一个工作日），封闭期内每日净值显示上一开放日（交易日）净值。 </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税款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ind w:firstLineChars="200" w:firstLine="36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根据中国增值税相关法律法规、税收政策等要求，理财产品运营过程中发生的增值税应税行为，以理财产品管理人为纳税人。签约各方同意本理财产品在运营过程应缴纳的增值税及附加税费（包括但不限于，城市维护建设税、教育费附加及地方教育附加等）由管理人从理财产品财产中支付，并依据中国税务机关要求，履行相关纳税申报义务。投资者从理财产品取得的收益应缴纳的税款，由投资者自行申报及缴纳。</w:t>
            </w:r>
          </w:p>
        </w:tc>
      </w:tr>
      <w:tr w:rsidR="003B4468" w:rsidRPr="00537BBB"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 xml:space="preserve">其他规定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line="326" w:lineRule="atLeast"/>
              <w:ind w:firstLineChars="200" w:firstLine="36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募集期认购申请日（含）至募集期结束日之间，投资者资金按期间每日挂牌活期存款利率计算利息，且该利息不计入认购本金。</w:t>
            </w:r>
          </w:p>
          <w:p w:rsidR="003B4468" w:rsidRPr="00537BBB" w:rsidRDefault="003B4468" w:rsidP="003B4468">
            <w:pPr>
              <w:widowControl/>
              <w:tabs>
                <w:tab w:val="left" w:pos="720"/>
              </w:tabs>
              <w:spacing w:line="300" w:lineRule="exact"/>
              <w:ind w:firstLineChars="200" w:firstLine="360"/>
              <w:rPr>
                <w:rFonts w:ascii="宋体" w:hAnsi="宋体" w:cs="宋体"/>
                <w:b/>
                <w:bCs/>
                <w:color w:val="000000" w:themeColor="text1"/>
                <w:kern w:val="0"/>
                <w:szCs w:val="21"/>
              </w:rPr>
            </w:pPr>
            <w:r w:rsidRPr="00537BBB">
              <w:rPr>
                <w:rFonts w:ascii="微软雅黑" w:eastAsia="微软雅黑" w:hAnsi="微软雅黑" w:cs="宋体" w:hint="eastAsia"/>
                <w:color w:val="000000" w:themeColor="text1"/>
                <w:kern w:val="0"/>
                <w:sz w:val="18"/>
                <w:szCs w:val="18"/>
              </w:rPr>
              <w:t>赎回日或理财产品终止日至资金到账日之间，投资者资金不计存款利息及理财收益。</w:t>
            </w:r>
          </w:p>
        </w:tc>
      </w:tr>
      <w:tr w:rsidR="003B4468" w:rsidRPr="00537BBB" w:rsidTr="00BE460C">
        <w:trPr>
          <w:trHeight w:val="452"/>
        </w:trPr>
        <w:tc>
          <w:tcPr>
            <w:tcW w:w="2340" w:type="dxa"/>
            <w:tcBorders>
              <w:top w:val="single" w:sz="4" w:space="0" w:color="auto"/>
              <w:left w:val="single" w:sz="12"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jc w:val="center"/>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附属条款</w:t>
            </w:r>
          </w:p>
        </w:tc>
        <w:tc>
          <w:tcPr>
            <w:tcW w:w="6480" w:type="dxa"/>
            <w:tcBorders>
              <w:top w:val="single" w:sz="4" w:space="0" w:color="auto"/>
              <w:left w:val="nil"/>
              <w:bottom w:val="single" w:sz="8" w:space="0" w:color="auto"/>
              <w:right w:val="single" w:sz="12" w:space="0" w:color="auto"/>
            </w:tcBorders>
            <w:shd w:val="clear" w:color="auto" w:fill="auto"/>
            <w:tcMar>
              <w:top w:w="15" w:type="dxa"/>
              <w:left w:w="15" w:type="dxa"/>
              <w:bottom w:w="0" w:type="dxa"/>
              <w:right w:w="15" w:type="dxa"/>
            </w:tcMar>
            <w:vAlign w:val="center"/>
          </w:tcPr>
          <w:p w:rsidR="003B4468" w:rsidRPr="00537BBB" w:rsidRDefault="003B4468" w:rsidP="003B4468">
            <w:pPr>
              <w:widowControl/>
              <w:spacing w:before="100" w:beforeAutospacing="1" w:after="100" w:afterAutospacing="1" w:line="326" w:lineRule="atLeast"/>
              <w:ind w:firstLineChars="200" w:firstLine="360"/>
              <w:rPr>
                <w:rFonts w:ascii="微软雅黑" w:eastAsia="微软雅黑" w:hAnsi="微软雅黑" w:cs="宋体"/>
                <w:color w:val="000000" w:themeColor="text1"/>
                <w:kern w:val="0"/>
                <w:sz w:val="18"/>
                <w:szCs w:val="18"/>
              </w:rPr>
            </w:pPr>
            <w:r w:rsidRPr="00537BBB">
              <w:rPr>
                <w:rFonts w:ascii="微软雅黑" w:eastAsia="微软雅黑" w:hAnsi="微软雅黑" w:cs="宋体" w:hint="eastAsia"/>
                <w:color w:val="000000" w:themeColor="text1"/>
                <w:kern w:val="0"/>
                <w:sz w:val="18"/>
                <w:szCs w:val="18"/>
              </w:rPr>
              <w:t>本理财产品不可用于本行理财产品质押业务</w:t>
            </w:r>
          </w:p>
        </w:tc>
      </w:tr>
    </w:tbl>
    <w:p w:rsidR="00AD73B8" w:rsidRPr="00537BBB" w:rsidRDefault="00AD73B8" w:rsidP="00AD73B8">
      <w:pPr>
        <w:widowControl/>
        <w:spacing w:line="300" w:lineRule="exact"/>
        <w:ind w:left="872" w:firstLine="0"/>
        <w:rPr>
          <w:rFonts w:ascii="宋体" w:hAnsi="宋体" w:cs="宋体"/>
          <w:b/>
          <w:bCs/>
          <w:color w:val="000000" w:themeColor="text1"/>
          <w:kern w:val="0"/>
          <w:szCs w:val="21"/>
        </w:rPr>
      </w:pPr>
    </w:p>
    <w:p w:rsidR="00B37D2D" w:rsidRPr="00537BBB" w:rsidRDefault="00B37D2D" w:rsidP="00B37D2D">
      <w:pPr>
        <w:widowControl/>
        <w:tabs>
          <w:tab w:val="left" w:pos="720"/>
        </w:tabs>
        <w:spacing w:line="300" w:lineRule="exact"/>
        <w:ind w:firstLineChars="196" w:firstLine="413"/>
        <w:rPr>
          <w:rFonts w:ascii="宋体" w:hAnsi="宋体" w:cs="宋体"/>
          <w:b/>
          <w:bCs/>
          <w:color w:val="000000" w:themeColor="text1"/>
          <w:kern w:val="0"/>
          <w:sz w:val="24"/>
          <w:szCs w:val="21"/>
        </w:rPr>
      </w:pPr>
      <w:r w:rsidRPr="00537BBB">
        <w:rPr>
          <w:rFonts w:ascii="宋体" w:hAnsi="宋体" w:cs="宋体" w:hint="eastAsia"/>
          <w:b/>
          <w:bCs/>
          <w:color w:val="000000" w:themeColor="text1"/>
          <w:kern w:val="0"/>
          <w:szCs w:val="21"/>
        </w:rPr>
        <w:t>二、</w:t>
      </w:r>
      <w:r w:rsidRPr="00537BBB">
        <w:rPr>
          <w:rFonts w:ascii="宋体" w:hAnsi="宋体" w:cs="宋体" w:hint="eastAsia"/>
          <w:b/>
          <w:bCs/>
          <w:color w:val="000000" w:themeColor="text1"/>
          <w:kern w:val="0"/>
          <w:sz w:val="24"/>
          <w:szCs w:val="21"/>
        </w:rPr>
        <w:t>投资管理</w:t>
      </w:r>
    </w:p>
    <w:p w:rsidR="00B37D2D" w:rsidRPr="00537BBB" w:rsidRDefault="00B37D2D" w:rsidP="00B37D2D">
      <w:pPr>
        <w:widowControl/>
        <w:tabs>
          <w:tab w:val="left" w:pos="720"/>
        </w:tabs>
        <w:spacing w:line="300" w:lineRule="exact"/>
        <w:ind w:firstLine="0"/>
        <w:rPr>
          <w:rFonts w:ascii="宋体" w:hAnsi="宋体" w:cs="宋体"/>
          <w:b/>
          <w:bCs/>
          <w:color w:val="000000" w:themeColor="text1"/>
          <w:kern w:val="0"/>
          <w:sz w:val="24"/>
          <w:szCs w:val="21"/>
        </w:rPr>
      </w:pPr>
    </w:p>
    <w:p w:rsidR="00B37D2D" w:rsidRPr="00537BBB" w:rsidRDefault="00B37D2D" w:rsidP="00B37D2D">
      <w:pPr>
        <w:widowControl/>
        <w:spacing w:after="240" w:line="300" w:lineRule="exact"/>
        <w:ind w:firstLineChars="196" w:firstLine="470"/>
        <w:rPr>
          <w:rFonts w:ascii="宋体" w:hAnsi="宋体" w:cs="宋体"/>
          <w:b/>
          <w:bCs/>
          <w:color w:val="000000" w:themeColor="text1"/>
          <w:kern w:val="0"/>
          <w:sz w:val="24"/>
          <w:szCs w:val="24"/>
        </w:rPr>
      </w:pPr>
      <w:r w:rsidRPr="00537BBB">
        <w:rPr>
          <w:rFonts w:ascii="宋体" w:hAnsi="宋体" w:hint="eastAsia"/>
          <w:color w:val="000000" w:themeColor="text1"/>
          <w:sz w:val="24"/>
          <w:szCs w:val="24"/>
        </w:rPr>
        <w:t>（一）基础资产构成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61"/>
        <w:gridCol w:w="4261"/>
      </w:tblGrid>
      <w:tr w:rsidR="00B37D2D" w:rsidRPr="00537BBB" w:rsidTr="00AC3BF7">
        <w:trPr>
          <w:trHeight w:val="527"/>
        </w:trPr>
        <w:tc>
          <w:tcPr>
            <w:tcW w:w="4261" w:type="dxa"/>
            <w:vAlign w:val="center"/>
          </w:tcPr>
          <w:p w:rsidR="00B37D2D" w:rsidRPr="00537BBB" w:rsidRDefault="00B37D2D" w:rsidP="00AC3BF7">
            <w:pPr>
              <w:ind w:firstLine="0"/>
              <w:jc w:val="center"/>
              <w:outlineLvl w:val="0"/>
              <w:rPr>
                <w:rFonts w:ascii="宋体" w:hAnsi="宋体"/>
                <w:b/>
                <w:color w:val="000000" w:themeColor="text1"/>
                <w:sz w:val="24"/>
                <w:szCs w:val="24"/>
              </w:rPr>
            </w:pPr>
            <w:r w:rsidRPr="00537BBB">
              <w:rPr>
                <w:rFonts w:ascii="宋体" w:hAnsi="宋体" w:hint="eastAsia"/>
                <w:b/>
                <w:color w:val="000000" w:themeColor="text1"/>
                <w:sz w:val="24"/>
                <w:szCs w:val="24"/>
              </w:rPr>
              <w:t>资产类型</w:t>
            </w:r>
          </w:p>
        </w:tc>
        <w:tc>
          <w:tcPr>
            <w:tcW w:w="4261" w:type="dxa"/>
            <w:vAlign w:val="center"/>
          </w:tcPr>
          <w:p w:rsidR="00B37D2D" w:rsidRPr="00537BBB" w:rsidRDefault="00B37D2D" w:rsidP="00AC3BF7">
            <w:pPr>
              <w:ind w:firstLine="0"/>
              <w:jc w:val="center"/>
              <w:outlineLvl w:val="0"/>
              <w:rPr>
                <w:rFonts w:ascii="宋体" w:hAnsi="宋体"/>
                <w:b/>
                <w:color w:val="000000" w:themeColor="text1"/>
                <w:sz w:val="24"/>
                <w:szCs w:val="24"/>
              </w:rPr>
            </w:pPr>
            <w:r w:rsidRPr="00537BBB">
              <w:rPr>
                <w:rFonts w:ascii="宋体" w:hAnsi="宋体" w:hint="eastAsia"/>
                <w:b/>
                <w:color w:val="000000" w:themeColor="text1"/>
                <w:sz w:val="24"/>
                <w:szCs w:val="24"/>
              </w:rPr>
              <w:t>投资比例</w:t>
            </w:r>
          </w:p>
        </w:tc>
      </w:tr>
      <w:tr w:rsidR="00B37D2D" w:rsidRPr="00537BBB" w:rsidTr="00AC3BF7">
        <w:tc>
          <w:tcPr>
            <w:tcW w:w="4261" w:type="dxa"/>
            <w:vAlign w:val="center"/>
          </w:tcPr>
          <w:p w:rsidR="00B37D2D" w:rsidRPr="00537BBB" w:rsidRDefault="00B37D2D" w:rsidP="00AC3BF7">
            <w:pPr>
              <w:spacing w:after="120"/>
              <w:ind w:firstLine="0"/>
              <w:jc w:val="center"/>
              <w:outlineLvl w:val="0"/>
              <w:rPr>
                <w:rFonts w:ascii="宋体" w:hAnsi="宋体"/>
                <w:color w:val="000000" w:themeColor="text1"/>
                <w:sz w:val="24"/>
                <w:szCs w:val="24"/>
              </w:rPr>
            </w:pPr>
            <w:r w:rsidRPr="00537BBB">
              <w:rPr>
                <w:rFonts w:ascii="宋体" w:hAnsi="宋体" w:hint="eastAsia"/>
                <w:color w:val="000000" w:themeColor="text1"/>
                <w:sz w:val="24"/>
                <w:szCs w:val="24"/>
              </w:rPr>
              <w:t>固定收益类</w:t>
            </w:r>
          </w:p>
        </w:tc>
        <w:tc>
          <w:tcPr>
            <w:tcW w:w="4261" w:type="dxa"/>
            <w:vAlign w:val="center"/>
          </w:tcPr>
          <w:p w:rsidR="00B37D2D" w:rsidRPr="00537BBB" w:rsidRDefault="00B37D2D" w:rsidP="00AC3BF7">
            <w:pPr>
              <w:spacing w:after="120"/>
              <w:ind w:firstLine="0"/>
              <w:jc w:val="center"/>
              <w:outlineLvl w:val="0"/>
              <w:rPr>
                <w:rFonts w:ascii="宋体" w:hAnsi="宋体"/>
                <w:color w:val="000000" w:themeColor="text1"/>
                <w:sz w:val="24"/>
                <w:szCs w:val="24"/>
              </w:rPr>
            </w:pPr>
            <w:r w:rsidRPr="00537BBB">
              <w:rPr>
                <w:rFonts w:ascii="宋体" w:hAnsi="宋体" w:hint="eastAsia"/>
                <w:color w:val="000000" w:themeColor="text1"/>
                <w:sz w:val="24"/>
                <w:szCs w:val="24"/>
              </w:rPr>
              <w:t>80-100%</w:t>
            </w:r>
          </w:p>
        </w:tc>
      </w:tr>
      <w:tr w:rsidR="00B37D2D" w:rsidRPr="00537BBB" w:rsidTr="00AC3BF7">
        <w:tc>
          <w:tcPr>
            <w:tcW w:w="4261" w:type="dxa"/>
            <w:vAlign w:val="center"/>
          </w:tcPr>
          <w:p w:rsidR="00B37D2D" w:rsidRPr="00537BBB" w:rsidRDefault="00B37D2D" w:rsidP="00AC3BF7">
            <w:pPr>
              <w:spacing w:after="120"/>
              <w:ind w:firstLine="0"/>
              <w:jc w:val="center"/>
              <w:outlineLvl w:val="0"/>
              <w:rPr>
                <w:rFonts w:ascii="宋体" w:hAnsi="宋体"/>
                <w:color w:val="000000" w:themeColor="text1"/>
                <w:sz w:val="24"/>
                <w:szCs w:val="24"/>
              </w:rPr>
            </w:pPr>
            <w:r w:rsidRPr="00537BBB">
              <w:rPr>
                <w:rFonts w:ascii="宋体" w:hAnsi="宋体" w:hint="eastAsia"/>
                <w:color w:val="000000" w:themeColor="text1"/>
                <w:sz w:val="24"/>
                <w:szCs w:val="24"/>
              </w:rPr>
              <w:t>权益类</w:t>
            </w:r>
          </w:p>
        </w:tc>
        <w:tc>
          <w:tcPr>
            <w:tcW w:w="4261" w:type="dxa"/>
            <w:vAlign w:val="center"/>
          </w:tcPr>
          <w:p w:rsidR="00B37D2D" w:rsidRPr="00537BBB" w:rsidRDefault="00B37D2D" w:rsidP="00AC3BF7">
            <w:pPr>
              <w:spacing w:after="120"/>
              <w:ind w:firstLine="0"/>
              <w:jc w:val="center"/>
              <w:outlineLvl w:val="0"/>
              <w:rPr>
                <w:rFonts w:ascii="宋体" w:hAnsi="宋体"/>
                <w:color w:val="000000" w:themeColor="text1"/>
                <w:sz w:val="24"/>
                <w:szCs w:val="24"/>
              </w:rPr>
            </w:pPr>
            <w:r w:rsidRPr="00537BBB">
              <w:rPr>
                <w:rFonts w:ascii="宋体" w:hAnsi="宋体" w:hint="eastAsia"/>
                <w:color w:val="000000" w:themeColor="text1"/>
                <w:sz w:val="24"/>
                <w:szCs w:val="24"/>
              </w:rPr>
              <w:t>0-20%</w:t>
            </w:r>
          </w:p>
        </w:tc>
      </w:tr>
    </w:tbl>
    <w:p w:rsidR="00B37D2D" w:rsidRPr="00537BBB" w:rsidRDefault="00B37D2D" w:rsidP="00B37D2D">
      <w:pPr>
        <w:spacing w:before="240"/>
        <w:ind w:firstLineChars="200" w:firstLine="480"/>
        <w:outlineLvl w:val="0"/>
        <w:rPr>
          <w:rFonts w:ascii="宋体" w:hAnsi="宋体"/>
          <w:color w:val="000000" w:themeColor="text1"/>
          <w:sz w:val="24"/>
          <w:szCs w:val="24"/>
        </w:rPr>
      </w:pPr>
      <w:r w:rsidRPr="00537BBB">
        <w:rPr>
          <w:rFonts w:ascii="宋体" w:hAnsi="宋体" w:hint="eastAsia"/>
          <w:color w:val="000000" w:themeColor="text1"/>
          <w:sz w:val="24"/>
          <w:szCs w:val="24"/>
        </w:rPr>
        <w:lastRenderedPageBreak/>
        <w:t>广州农商银行将本产品募集资金投资于固定收益类资产和权益类资产。其中固定收益类资产投资比例不低于80%。权益类资产投资比例上限不超过20%。</w:t>
      </w:r>
    </w:p>
    <w:p w:rsidR="00B37D2D" w:rsidRPr="00537BBB" w:rsidRDefault="00B37D2D" w:rsidP="00B37D2D">
      <w:pPr>
        <w:ind w:firstLineChars="200" w:firstLine="480"/>
        <w:outlineLvl w:val="0"/>
        <w:rPr>
          <w:rFonts w:ascii="宋体" w:hAnsi="宋体"/>
          <w:color w:val="000000" w:themeColor="text1"/>
          <w:sz w:val="24"/>
          <w:szCs w:val="24"/>
        </w:rPr>
      </w:pPr>
      <w:r w:rsidRPr="00537BBB">
        <w:rPr>
          <w:rFonts w:ascii="宋体" w:hAnsi="宋体" w:hint="eastAsia"/>
          <w:color w:val="000000" w:themeColor="text1"/>
          <w:sz w:val="24"/>
          <w:szCs w:val="24"/>
        </w:rPr>
        <w:t>固定收益资产主要包括银行存款、货币市场工具、债券类资产及其他符合监管要求的债权类资产。债券类资产,包括</w:t>
      </w:r>
      <w:r w:rsidRPr="00537BBB">
        <w:rPr>
          <w:rFonts w:ascii="宋体" w:hAnsi="宋体"/>
          <w:color w:val="000000" w:themeColor="text1"/>
          <w:sz w:val="24"/>
          <w:szCs w:val="24"/>
        </w:rPr>
        <w:t>但不限于</w:t>
      </w:r>
      <w:r w:rsidRPr="00537BBB">
        <w:rPr>
          <w:rFonts w:ascii="宋体" w:hAnsi="宋体" w:hint="eastAsia"/>
          <w:color w:val="000000" w:themeColor="text1"/>
          <w:sz w:val="24"/>
          <w:szCs w:val="24"/>
        </w:rPr>
        <w:t>国内依法发行上市的</w:t>
      </w:r>
      <w:r w:rsidRPr="00537BBB">
        <w:rPr>
          <w:rFonts w:ascii="宋体" w:hAnsi="宋体"/>
          <w:color w:val="000000" w:themeColor="text1"/>
          <w:sz w:val="24"/>
          <w:szCs w:val="24"/>
        </w:rPr>
        <w:t>国债、央行票据、金融债、</w:t>
      </w:r>
      <w:r w:rsidRPr="00537BBB">
        <w:rPr>
          <w:rFonts w:ascii="宋体" w:hAnsi="宋体" w:hint="eastAsia"/>
          <w:color w:val="000000" w:themeColor="text1"/>
          <w:sz w:val="24"/>
          <w:szCs w:val="24"/>
        </w:rPr>
        <w:t>次级债、地方政府债、</w:t>
      </w:r>
      <w:r w:rsidRPr="00537BBB">
        <w:rPr>
          <w:rFonts w:ascii="宋体" w:hAnsi="宋体"/>
          <w:color w:val="000000" w:themeColor="text1"/>
          <w:sz w:val="24"/>
          <w:szCs w:val="24"/>
        </w:rPr>
        <w:t>企业债、公司债、短期融资券、</w:t>
      </w:r>
      <w:r w:rsidRPr="00537BBB">
        <w:rPr>
          <w:rFonts w:ascii="宋体" w:hAnsi="宋体" w:hint="eastAsia"/>
          <w:color w:val="000000" w:themeColor="text1"/>
          <w:sz w:val="24"/>
          <w:szCs w:val="24"/>
        </w:rPr>
        <w:t>超短期融资券、</w:t>
      </w:r>
      <w:r w:rsidRPr="00537BBB">
        <w:rPr>
          <w:rFonts w:ascii="宋体" w:hAnsi="宋体"/>
          <w:color w:val="000000" w:themeColor="text1"/>
          <w:sz w:val="24"/>
          <w:szCs w:val="24"/>
        </w:rPr>
        <w:t>中期票据、</w:t>
      </w:r>
      <w:r w:rsidRPr="00537BBB">
        <w:rPr>
          <w:rFonts w:ascii="宋体" w:hAnsi="宋体" w:hint="eastAsia"/>
          <w:color w:val="000000" w:themeColor="text1"/>
          <w:sz w:val="24"/>
          <w:szCs w:val="24"/>
        </w:rPr>
        <w:t>资产支持证券、可转债（含可分离交易可转债）、可交换债、私募债券（包括但不限于定向债务融资工具、非公开发行公司债、中小企业私募债）、</w:t>
      </w:r>
      <w:r w:rsidRPr="00537BBB">
        <w:rPr>
          <w:rFonts w:ascii="宋体" w:hAnsi="宋体"/>
          <w:color w:val="000000" w:themeColor="text1"/>
          <w:sz w:val="24"/>
          <w:szCs w:val="24"/>
        </w:rPr>
        <w:t>债券回购、</w:t>
      </w:r>
      <w:r w:rsidRPr="00537BBB">
        <w:rPr>
          <w:rFonts w:ascii="宋体" w:hAnsi="宋体" w:hint="eastAsia"/>
          <w:color w:val="000000" w:themeColor="text1"/>
          <w:sz w:val="24"/>
          <w:szCs w:val="24"/>
        </w:rPr>
        <w:t>债券借贷、同业存单、债券基金、货币基金，以及投资性质属于债券类的资产管理计划、信托计划等。权益类资产包括股票、股票基金、混合基金、投资性质属于权益类、混合类的资产管理计划、信托计划等。</w:t>
      </w:r>
    </w:p>
    <w:p w:rsidR="00B37D2D" w:rsidRPr="00537BBB" w:rsidRDefault="00B37D2D" w:rsidP="00B37D2D">
      <w:pPr>
        <w:ind w:firstLineChars="200" w:firstLine="480"/>
        <w:outlineLvl w:val="0"/>
        <w:rPr>
          <w:rFonts w:ascii="宋体" w:hAnsi="宋体"/>
          <w:color w:val="000000" w:themeColor="text1"/>
          <w:sz w:val="24"/>
          <w:szCs w:val="24"/>
        </w:rPr>
      </w:pPr>
      <w:r w:rsidRPr="00537BBB">
        <w:rPr>
          <w:rFonts w:ascii="宋体" w:hAnsi="宋体" w:hint="eastAsia"/>
          <w:color w:val="000000" w:themeColor="text1"/>
          <w:sz w:val="24"/>
          <w:szCs w:val="24"/>
        </w:rPr>
        <w:t>（二）基础资产运作</w:t>
      </w:r>
    </w:p>
    <w:p w:rsidR="00B37D2D" w:rsidRPr="00537BBB" w:rsidRDefault="00B37D2D" w:rsidP="00B37D2D">
      <w:pPr>
        <w:pStyle w:val="a7"/>
        <w:spacing w:after="0"/>
        <w:ind w:firstLineChars="200" w:firstLine="480"/>
        <w:rPr>
          <w:rFonts w:ascii="宋体" w:hAnsi="宋体"/>
          <w:bCs/>
          <w:color w:val="000000" w:themeColor="text1"/>
          <w:sz w:val="24"/>
        </w:rPr>
      </w:pPr>
      <w:r w:rsidRPr="00537BBB">
        <w:rPr>
          <w:rFonts w:ascii="宋体" w:hAnsi="宋体" w:hint="eastAsia"/>
          <w:bCs/>
          <w:color w:val="000000" w:themeColor="text1"/>
          <w:sz w:val="24"/>
        </w:rPr>
        <w:t>广州农商银行对所投资金融工具设置相应的投资组合，通过管理投资组合，其中：</w:t>
      </w:r>
    </w:p>
    <w:p w:rsidR="00B37D2D" w:rsidRPr="00537BBB" w:rsidRDefault="00B37D2D" w:rsidP="00B37D2D">
      <w:pPr>
        <w:pStyle w:val="a7"/>
        <w:spacing w:after="0"/>
        <w:ind w:firstLineChars="200" w:firstLine="480"/>
        <w:rPr>
          <w:rFonts w:ascii="宋体" w:hAnsi="宋体"/>
          <w:bCs/>
          <w:color w:val="000000" w:themeColor="text1"/>
          <w:sz w:val="24"/>
        </w:rPr>
      </w:pPr>
      <w:r w:rsidRPr="00537BBB">
        <w:rPr>
          <w:rFonts w:ascii="宋体" w:hAnsi="宋体" w:hint="eastAsia"/>
          <w:bCs/>
          <w:color w:val="000000" w:themeColor="text1"/>
          <w:sz w:val="24"/>
        </w:rPr>
        <w:t>1、固定收益类资产的比例不低于产品资产净值的80%，现金或者到期日在一年以内的国债、中央银行票据和政策性金融债券的比例合计不低于产品资产净值的5%。</w:t>
      </w:r>
    </w:p>
    <w:p w:rsidR="00B37D2D" w:rsidRPr="00537BBB" w:rsidRDefault="00B37D2D" w:rsidP="00B37D2D">
      <w:pPr>
        <w:pStyle w:val="a7"/>
        <w:spacing w:after="0"/>
        <w:ind w:firstLineChars="200" w:firstLine="480"/>
        <w:rPr>
          <w:rFonts w:ascii="宋体" w:hAnsi="宋体"/>
          <w:bCs/>
          <w:color w:val="000000" w:themeColor="text1"/>
          <w:sz w:val="24"/>
        </w:rPr>
      </w:pPr>
      <w:r w:rsidRPr="00537BBB">
        <w:rPr>
          <w:rFonts w:ascii="宋体" w:hAnsi="宋体" w:hint="eastAsia"/>
          <w:bCs/>
          <w:color w:val="000000" w:themeColor="text1"/>
          <w:sz w:val="24"/>
        </w:rPr>
        <w:t>2、产品的总资产不得超过产品净资产的140%。</w:t>
      </w:r>
    </w:p>
    <w:p w:rsidR="00B37D2D" w:rsidRPr="00537BBB" w:rsidRDefault="00B37D2D" w:rsidP="00B37D2D">
      <w:pPr>
        <w:pStyle w:val="a7"/>
        <w:spacing w:after="0"/>
        <w:ind w:firstLineChars="200" w:firstLine="480"/>
        <w:rPr>
          <w:rFonts w:ascii="宋体" w:hAnsi="宋体"/>
          <w:color w:val="000000" w:themeColor="text1"/>
          <w:sz w:val="24"/>
        </w:rPr>
      </w:pPr>
      <w:r w:rsidRPr="00537BBB">
        <w:rPr>
          <w:rFonts w:ascii="宋体" w:hAnsi="宋体" w:hint="eastAsia"/>
          <w:color w:val="000000" w:themeColor="text1"/>
          <w:sz w:val="24"/>
        </w:rPr>
        <w:t>非银行主观因素导致突破前述比例限制的，</w:t>
      </w:r>
      <w:r w:rsidRPr="00537BBB">
        <w:rPr>
          <w:rFonts w:ascii="宋体" w:hAnsi="宋体" w:hint="eastAsia"/>
          <w:bCs/>
          <w:color w:val="000000" w:themeColor="text1"/>
          <w:sz w:val="24"/>
        </w:rPr>
        <w:t>广州农商银行</w:t>
      </w:r>
      <w:r w:rsidRPr="00537BBB">
        <w:rPr>
          <w:rFonts w:ascii="宋体" w:hAnsi="宋体" w:hint="eastAsia"/>
          <w:color w:val="000000" w:themeColor="text1"/>
          <w:sz w:val="24"/>
        </w:rPr>
        <w:t>会在流动性受限资产可出售、可转让或者恢复交易的15个交易日内调整至符合要求。</w:t>
      </w:r>
      <w:r w:rsidRPr="00537BBB">
        <w:rPr>
          <w:rFonts w:ascii="宋体" w:hAnsi="宋体" w:hint="eastAsia"/>
          <w:bCs/>
          <w:color w:val="000000" w:themeColor="text1"/>
          <w:sz w:val="24"/>
        </w:rPr>
        <w:t>广州农商银行</w:t>
      </w:r>
      <w:r w:rsidRPr="00537BBB">
        <w:rPr>
          <w:rFonts w:ascii="宋体" w:hAnsi="宋体" w:hint="eastAsia"/>
          <w:color w:val="000000" w:themeColor="text1"/>
          <w:sz w:val="24"/>
        </w:rPr>
        <w:t>有权根据市场情况，在不对客户实质性权益产生重大影响且根据约定提前公告的情况下，对本理财产品的投资范围、投资品种和投资比例进行调整。</w:t>
      </w:r>
    </w:p>
    <w:p w:rsidR="00B37D2D" w:rsidRPr="00537BBB" w:rsidRDefault="00B37D2D" w:rsidP="00B37D2D">
      <w:pPr>
        <w:pStyle w:val="a7"/>
        <w:spacing w:after="0"/>
        <w:ind w:firstLineChars="200" w:firstLine="480"/>
        <w:rPr>
          <w:rFonts w:ascii="宋体" w:hAnsi="宋体"/>
          <w:color w:val="000000" w:themeColor="text1"/>
          <w:sz w:val="24"/>
        </w:rPr>
      </w:pPr>
      <w:r w:rsidRPr="00537BBB">
        <w:rPr>
          <w:rFonts w:ascii="宋体" w:hAnsi="宋体" w:hint="eastAsia"/>
          <w:color w:val="000000" w:themeColor="text1"/>
          <w:sz w:val="24"/>
        </w:rPr>
        <w:t>本理财产品的同类产品参考业绩比较基准由广州农商银行根据上述资产配置时的收益率水平确定，仅作为投资管理的业绩目标并用于计算产品浮动管理费用，不构成对本理财产品的任何收益承诺或担保。</w:t>
      </w:r>
    </w:p>
    <w:p w:rsidR="00B37D2D" w:rsidRPr="00537BBB" w:rsidRDefault="00B37D2D" w:rsidP="00B37D2D">
      <w:pPr>
        <w:pStyle w:val="a7"/>
        <w:spacing w:after="0"/>
        <w:ind w:firstLineChars="200" w:firstLine="480"/>
        <w:rPr>
          <w:rFonts w:ascii="宋体" w:hAnsi="宋体"/>
          <w:color w:val="000000" w:themeColor="text1"/>
          <w:sz w:val="24"/>
        </w:rPr>
      </w:pPr>
      <w:r w:rsidRPr="00537BBB">
        <w:rPr>
          <w:rFonts w:ascii="宋体" w:hAnsi="宋体" w:hint="eastAsia"/>
          <w:color w:val="000000" w:themeColor="text1"/>
          <w:sz w:val="24"/>
        </w:rPr>
        <w:t>本产品参与者按其认购资金占本产品的全部募集资金比例，享有相应比例的收益，承担相应比例的风险。</w:t>
      </w:r>
    </w:p>
    <w:p w:rsidR="00B37D2D" w:rsidRPr="00537BBB" w:rsidRDefault="00B37D2D" w:rsidP="001F21D2">
      <w:pPr>
        <w:pStyle w:val="a7"/>
        <w:spacing w:after="0"/>
        <w:ind w:firstLineChars="200" w:firstLine="480"/>
        <w:rPr>
          <w:rFonts w:ascii="宋体" w:hAnsi="宋体"/>
          <w:color w:val="000000" w:themeColor="text1"/>
          <w:sz w:val="24"/>
        </w:rPr>
      </w:pPr>
      <w:r w:rsidRPr="00537BBB">
        <w:rPr>
          <w:rFonts w:ascii="宋体" w:hAnsi="宋体" w:hint="eastAsia"/>
          <w:color w:val="000000" w:themeColor="text1"/>
          <w:sz w:val="24"/>
        </w:rPr>
        <w:t>（三）投资策略</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1</w:t>
      </w:r>
      <w:r w:rsidRPr="00537BBB">
        <w:rPr>
          <w:rFonts w:hint="eastAsia"/>
          <w:color w:val="000000" w:themeColor="text1"/>
          <w:sz w:val="24"/>
        </w:rPr>
        <w:t>、资产配置策略</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（1）本理财产品通过综合分析国内外宏观经济态势、利率走势、收益率曲线变化趋势和信用风险变化等因素，并结合各种固定收益类资产在特定经济形势下的估值水平、预期收益和预期风</w:t>
      </w:r>
      <w:r w:rsidRPr="00537BBB">
        <w:rPr>
          <w:rFonts w:hint="eastAsia"/>
          <w:color w:val="000000" w:themeColor="text1"/>
          <w:sz w:val="24"/>
          <w:szCs w:val="24"/>
        </w:rPr>
        <w:t>险特征，在符合本产品相关投资比例规定的前提下，决定组合的久期水平、期限结构和类属</w:t>
      </w:r>
      <w:r w:rsidRPr="00537BBB">
        <w:rPr>
          <w:rFonts w:ascii="宋体" w:hAnsi="宋体" w:hint="eastAsia"/>
          <w:color w:val="000000" w:themeColor="text1"/>
          <w:sz w:val="24"/>
          <w:szCs w:val="24"/>
        </w:rPr>
        <w:t>配置，并在此基础之上实施积极的债券投资组合管理，以获取较高的投资收益。</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w:t>
      </w:r>
      <w:r w:rsidRPr="00537BBB">
        <w:rPr>
          <w:rFonts w:hint="eastAsia"/>
          <w:color w:val="000000" w:themeColor="text1"/>
          <w:sz w:val="24"/>
        </w:rPr>
        <w:t>2</w:t>
      </w:r>
      <w:r w:rsidRPr="00537BBB">
        <w:rPr>
          <w:rFonts w:hint="eastAsia"/>
          <w:color w:val="000000" w:themeColor="text1"/>
          <w:sz w:val="24"/>
        </w:rPr>
        <w:t>）综合本理财产品的安全性、流动性和收益性要求，根据安全性和流动性优先、追求适度收益的投资理念，在资产配置中较大比例投资高信用等级金融工具，以满足安全性和流动性要求，在此基础上适度投资风险相对较低、收益相对较高的金融资产，进一步提高产品收益水平。</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2</w:t>
      </w:r>
      <w:r w:rsidRPr="00537BBB">
        <w:rPr>
          <w:rFonts w:hint="eastAsia"/>
          <w:color w:val="000000" w:themeColor="text1"/>
          <w:sz w:val="24"/>
        </w:rPr>
        <w:t>、利率预期策略</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根据宏观经济、债券市场情况，制定本理财产品的利率预期策略。如果预期利率下降，将增加组合的平均剩余期限；反之，则缩短组合的平均剩余期限。</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3</w:t>
      </w:r>
      <w:r w:rsidRPr="00537BBB">
        <w:rPr>
          <w:rFonts w:hint="eastAsia"/>
          <w:color w:val="000000" w:themeColor="text1"/>
          <w:sz w:val="24"/>
        </w:rPr>
        <w:t>、类属配置策略</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在保持组合资产相对稳定的条件下，根据各类金融工具的市场规模、收益性和流动性，决定各类资产的配置比例。</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4</w:t>
      </w:r>
      <w:r w:rsidRPr="00537BBB">
        <w:rPr>
          <w:rFonts w:hint="eastAsia"/>
          <w:color w:val="000000" w:themeColor="text1"/>
          <w:sz w:val="24"/>
        </w:rPr>
        <w:t>、组合优化</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lastRenderedPageBreak/>
        <w:t>在投资组合构建和调整的过程中，根据投资品种的变化，如信用价差、收益率、流动性状况变化，品种到期等，定期、不定期地对组合进行优化调整。</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 xml:space="preserve"> 5</w:t>
      </w:r>
      <w:r w:rsidRPr="00537BBB">
        <w:rPr>
          <w:rFonts w:hint="eastAsia"/>
          <w:color w:val="000000" w:themeColor="text1"/>
          <w:sz w:val="24"/>
        </w:rPr>
        <w:t>、短期利率波动策略</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短期利率水平会因市场环境的变化出现短暂的波动，把握新债发行、季节因素、日历效应等机会，捕捉回购利率的高点。</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6</w:t>
      </w:r>
      <w:r w:rsidRPr="00537BBB">
        <w:rPr>
          <w:rFonts w:hint="eastAsia"/>
          <w:color w:val="000000" w:themeColor="text1"/>
          <w:sz w:val="24"/>
        </w:rPr>
        <w:t>、利差交易</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由于债券收益率曲线在不断发生形变，不同期限债券的收益率差也在变化，投资管理人将判断不同期限债券间收益率差扩大或缩小的趋势，进一步提高产品收益水平。</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7</w:t>
      </w:r>
      <w:r w:rsidRPr="00537BBB">
        <w:rPr>
          <w:rFonts w:hint="eastAsia"/>
          <w:color w:val="000000" w:themeColor="text1"/>
          <w:sz w:val="24"/>
        </w:rPr>
        <w:t>、企业信用投资策略</w:t>
      </w:r>
    </w:p>
    <w:p w:rsidR="00B37D2D" w:rsidRPr="00537BBB" w:rsidRDefault="00B37D2D" w:rsidP="001F21D2">
      <w:pPr>
        <w:pStyle w:val="a7"/>
        <w:spacing w:after="0"/>
        <w:ind w:firstLineChars="200" w:firstLine="480"/>
        <w:rPr>
          <w:color w:val="000000" w:themeColor="text1"/>
          <w:sz w:val="24"/>
        </w:rPr>
      </w:pPr>
      <w:r w:rsidRPr="00537BBB">
        <w:rPr>
          <w:rFonts w:hint="eastAsia"/>
          <w:color w:val="000000" w:themeColor="text1"/>
          <w:sz w:val="24"/>
        </w:rPr>
        <w:t>由于宏观经济变化，企业信用利差不断发生变化，投资管理人将判断不同企业信用利差扩大或缩小的趋势，采用定量分析与定性分析相结合的分析方法对发债主体企业进行深入的基本面分析，并结合债券的发行条款，确定信用债的实际信用风险状况及其信用利差水平，挖掘并投资于信用风险相对较低、信用利差收益相对较大的优质信用债品种，进一步提高理财产品收益。</w:t>
      </w:r>
    </w:p>
    <w:p w:rsidR="00B37D2D" w:rsidRPr="00537BBB" w:rsidRDefault="00B37D2D" w:rsidP="00B37D2D">
      <w:pPr>
        <w:widowControl/>
        <w:tabs>
          <w:tab w:val="left" w:pos="567"/>
        </w:tabs>
        <w:spacing w:before="240" w:line="300" w:lineRule="exact"/>
        <w:ind w:leftChars="201" w:left="422" w:firstLineChars="49" w:firstLine="118"/>
        <w:rPr>
          <w:rFonts w:ascii="宋体" w:hAnsi="宋体" w:cs="宋体"/>
          <w:b/>
          <w:bCs/>
          <w:color w:val="000000" w:themeColor="text1"/>
          <w:kern w:val="0"/>
          <w:sz w:val="24"/>
          <w:szCs w:val="24"/>
        </w:rPr>
      </w:pPr>
      <w:r w:rsidRPr="00537BBB">
        <w:rPr>
          <w:rFonts w:ascii="宋体" w:hAnsi="宋体" w:cs="宋体" w:hint="eastAsia"/>
          <w:b/>
          <w:bCs/>
          <w:color w:val="000000" w:themeColor="text1"/>
          <w:kern w:val="0"/>
          <w:sz w:val="24"/>
          <w:szCs w:val="24"/>
        </w:rPr>
        <w:t>三、理财产品管理人</w:t>
      </w:r>
    </w:p>
    <w:p w:rsidR="00B37D2D" w:rsidRPr="00537BBB" w:rsidRDefault="00B37D2D" w:rsidP="00B37D2D">
      <w:pPr>
        <w:spacing w:line="300" w:lineRule="exact"/>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本理财产品管理人为广州农村商业银行股份有限公司（以下简称“广州农商银行”），广州农商银行接受客户的委托和授权，按照本产品说明书约定的投资方向和方式进行投资和资产管理，代表客户签订投资和资产管理过程中涉及到的协议、合同等文本。负责理财产品项下投资组合的投资运作和管理。</w:t>
      </w:r>
    </w:p>
    <w:p w:rsidR="00B37D2D" w:rsidRPr="00537BBB" w:rsidRDefault="00B37D2D" w:rsidP="00B37D2D">
      <w:pPr>
        <w:spacing w:line="300" w:lineRule="exact"/>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投资者在此授权并同意广州农商银行享有以下权利：  </w:t>
      </w:r>
    </w:p>
    <w:p w:rsidR="00B37D2D" w:rsidRPr="00537BBB" w:rsidRDefault="00B37D2D" w:rsidP="00B37D2D">
      <w:pPr>
        <w:spacing w:line="300" w:lineRule="exact"/>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1. 以理财产品管理人的名义，依照法律法规相关规定以及为理财产品的利益，对被投资的各类基金（含公募基金和私募基金）、公司/企业等行使出资人/投资者权利（包括但不限于表决投票的权利）以及行使因理财产品财产投资于证券类基础资产（含债券）或其他基础资产（包括但不限于债权类资产）所产生的相关权利。 </w:t>
      </w:r>
    </w:p>
    <w:p w:rsidR="00B37D2D" w:rsidRPr="00537BBB" w:rsidRDefault="00B37D2D" w:rsidP="00B37D2D">
      <w:pPr>
        <w:spacing w:line="300" w:lineRule="exact"/>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2. 以理财产品投资管理人的名义，依照法律法规相关规定以及代表理财产品份额持有人的利益行使代为追索的权利（包括但不限于提起诉讼/仲裁、申请保全/执行的权利）或者实施其他法律行为。</w:t>
      </w:r>
    </w:p>
    <w:p w:rsidR="00B37D2D" w:rsidRPr="00537BBB" w:rsidRDefault="00B37D2D" w:rsidP="00B37D2D">
      <w:pPr>
        <w:spacing w:before="240" w:line="300" w:lineRule="exact"/>
        <w:ind w:firstLineChars="200" w:firstLine="482"/>
        <w:rPr>
          <w:rFonts w:ascii="宋体" w:hAnsi="宋体" w:cs="宋体"/>
          <w:b/>
          <w:bCs/>
          <w:color w:val="000000" w:themeColor="text1"/>
          <w:kern w:val="0"/>
          <w:sz w:val="24"/>
          <w:szCs w:val="24"/>
        </w:rPr>
      </w:pPr>
      <w:r w:rsidRPr="00537BBB">
        <w:rPr>
          <w:rFonts w:ascii="宋体" w:hAnsi="宋体" w:hint="eastAsia"/>
          <w:b/>
          <w:color w:val="000000" w:themeColor="text1"/>
          <w:sz w:val="24"/>
          <w:szCs w:val="24"/>
        </w:rPr>
        <w:t>四、</w:t>
      </w:r>
      <w:r w:rsidRPr="00537BBB">
        <w:rPr>
          <w:rFonts w:ascii="宋体" w:hAnsi="宋体" w:cs="宋体" w:hint="eastAsia"/>
          <w:b/>
          <w:bCs/>
          <w:color w:val="000000" w:themeColor="text1"/>
          <w:kern w:val="0"/>
          <w:sz w:val="24"/>
          <w:szCs w:val="24"/>
        </w:rPr>
        <w:t>托管人</w:t>
      </w:r>
    </w:p>
    <w:p w:rsidR="00B37D2D" w:rsidRPr="00537BBB" w:rsidRDefault="00B37D2D" w:rsidP="00B37D2D">
      <w:pPr>
        <w:spacing w:line="300" w:lineRule="exact"/>
        <w:ind w:left="422" w:firstLine="0"/>
        <w:rPr>
          <w:rFonts w:ascii="宋体" w:hAnsi="宋体"/>
          <w:color w:val="000000" w:themeColor="text1"/>
          <w:sz w:val="24"/>
          <w:szCs w:val="24"/>
        </w:rPr>
      </w:pPr>
      <w:r w:rsidRPr="00537BBB">
        <w:rPr>
          <w:rFonts w:ascii="宋体" w:hAnsi="宋体" w:hint="eastAsia"/>
          <w:color w:val="000000" w:themeColor="text1"/>
          <w:sz w:val="24"/>
          <w:szCs w:val="24"/>
        </w:rPr>
        <w:t>本理财产品托管人为广州农村商业银行股份有限公司。</w:t>
      </w:r>
    </w:p>
    <w:p w:rsidR="00B37D2D" w:rsidRPr="00537BBB" w:rsidRDefault="00B37D2D" w:rsidP="00B37D2D">
      <w:pPr>
        <w:widowControl/>
        <w:tabs>
          <w:tab w:val="left" w:pos="720"/>
        </w:tabs>
        <w:spacing w:line="300" w:lineRule="exact"/>
        <w:ind w:left="422" w:firstLine="0"/>
        <w:rPr>
          <w:rFonts w:ascii="宋体" w:hAnsi="宋体" w:cs="宋体"/>
          <w:b/>
          <w:bCs/>
          <w:color w:val="000000" w:themeColor="text1"/>
          <w:kern w:val="0"/>
          <w:szCs w:val="21"/>
        </w:rPr>
      </w:pPr>
    </w:p>
    <w:p w:rsidR="00B37D2D" w:rsidRPr="00537BBB" w:rsidRDefault="00B37D2D" w:rsidP="00B37D2D">
      <w:pPr>
        <w:widowControl/>
        <w:tabs>
          <w:tab w:val="left" w:pos="720"/>
        </w:tabs>
        <w:ind w:firstLineChars="200" w:firstLine="482"/>
        <w:rPr>
          <w:rFonts w:ascii="宋体" w:hAnsi="宋体" w:cs="宋体"/>
          <w:b/>
          <w:bCs/>
          <w:color w:val="000000" w:themeColor="text1"/>
          <w:kern w:val="0"/>
          <w:sz w:val="24"/>
          <w:szCs w:val="21"/>
        </w:rPr>
      </w:pPr>
      <w:r w:rsidRPr="00537BBB">
        <w:rPr>
          <w:rFonts w:ascii="宋体" w:hAnsi="宋体" w:cs="宋体" w:hint="eastAsia"/>
          <w:b/>
          <w:bCs/>
          <w:color w:val="000000" w:themeColor="text1"/>
          <w:kern w:val="0"/>
          <w:sz w:val="24"/>
          <w:szCs w:val="21"/>
        </w:rPr>
        <w:t>五、理财产品份额净值的计算</w:t>
      </w:r>
    </w:p>
    <w:p w:rsidR="00B37D2D" w:rsidRPr="00537BBB" w:rsidRDefault="00B37D2D" w:rsidP="00B37D2D">
      <w:pPr>
        <w:spacing w:line="300" w:lineRule="exact"/>
        <w:ind w:firstLineChars="200" w:firstLine="480"/>
        <w:rPr>
          <w:rFonts w:ascii="宋体" w:hAnsi="宋体"/>
          <w:color w:val="000000" w:themeColor="text1"/>
          <w:sz w:val="24"/>
          <w:szCs w:val="21"/>
        </w:rPr>
      </w:pPr>
      <w:r w:rsidRPr="00537BBB">
        <w:rPr>
          <w:rFonts w:ascii="宋体" w:hAnsi="宋体" w:hint="eastAsia"/>
          <w:color w:val="000000" w:themeColor="text1"/>
          <w:sz w:val="24"/>
          <w:szCs w:val="21"/>
        </w:rPr>
        <w:t xml:space="preserve">理财产品份额净值＝理财产品资产净值/理财产品份额 </w:t>
      </w:r>
    </w:p>
    <w:p w:rsidR="00B37D2D" w:rsidRPr="00537BBB" w:rsidRDefault="00B37D2D" w:rsidP="00B37D2D">
      <w:pPr>
        <w:spacing w:line="300" w:lineRule="exact"/>
        <w:ind w:firstLineChars="200" w:firstLine="480"/>
        <w:rPr>
          <w:rFonts w:ascii="宋体" w:hAnsi="宋体"/>
          <w:color w:val="000000" w:themeColor="text1"/>
          <w:sz w:val="24"/>
          <w:szCs w:val="21"/>
        </w:rPr>
      </w:pPr>
      <w:r w:rsidRPr="00537BBB">
        <w:rPr>
          <w:rFonts w:ascii="宋体" w:hAnsi="宋体" w:hint="eastAsia"/>
          <w:color w:val="000000" w:themeColor="text1"/>
          <w:sz w:val="24"/>
          <w:szCs w:val="21"/>
        </w:rPr>
        <w:t>理财产品份额净值为提取相关费用后的份额净值，投资者按该份额净值进行申购、赎回和终止/提前终止。</w:t>
      </w:r>
    </w:p>
    <w:p w:rsidR="00B37D2D" w:rsidRPr="00537BBB" w:rsidRDefault="00B37D2D" w:rsidP="00B37D2D">
      <w:pPr>
        <w:spacing w:line="300" w:lineRule="exact"/>
        <w:ind w:firstLineChars="200" w:firstLine="420"/>
        <w:rPr>
          <w:rFonts w:ascii="宋体" w:hAnsi="宋体"/>
          <w:color w:val="000000" w:themeColor="text1"/>
          <w:szCs w:val="21"/>
        </w:rPr>
      </w:pPr>
    </w:p>
    <w:p w:rsidR="00B37D2D" w:rsidRPr="00537BBB" w:rsidRDefault="00B37D2D" w:rsidP="00B37D2D">
      <w:pPr>
        <w:ind w:firstLineChars="200" w:firstLine="482"/>
        <w:rPr>
          <w:rFonts w:ascii="宋体" w:hAnsi="宋体"/>
          <w:b/>
          <w:color w:val="000000" w:themeColor="text1"/>
          <w:sz w:val="24"/>
          <w:szCs w:val="24"/>
        </w:rPr>
      </w:pPr>
      <w:r w:rsidRPr="00537BBB">
        <w:rPr>
          <w:rFonts w:ascii="宋体" w:hAnsi="宋体" w:hint="eastAsia"/>
          <w:b/>
          <w:color w:val="000000" w:themeColor="text1"/>
          <w:sz w:val="24"/>
          <w:szCs w:val="24"/>
        </w:rPr>
        <w:t>六、产品收益测算</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（一）客户收益计算公式</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客户获得的实际理财收益＝投资份额×（到期单位净值-初始单位净值）</w:t>
      </w:r>
    </w:p>
    <w:p w:rsidR="00B37D2D" w:rsidRPr="00537BBB" w:rsidRDefault="00B37D2D" w:rsidP="00B37D2D">
      <w:pPr>
        <w:ind w:firstLineChars="200" w:firstLine="480"/>
        <w:rPr>
          <w:rFonts w:ascii="宋体" w:hAnsi="宋体"/>
          <w:b/>
          <w:color w:val="000000" w:themeColor="text1"/>
          <w:sz w:val="24"/>
          <w:szCs w:val="24"/>
        </w:rPr>
      </w:pPr>
      <w:r w:rsidRPr="00537BBB">
        <w:rPr>
          <w:rFonts w:ascii="宋体" w:hAnsi="宋体" w:hint="eastAsia"/>
          <w:color w:val="000000" w:themeColor="text1"/>
          <w:sz w:val="24"/>
          <w:szCs w:val="24"/>
        </w:rPr>
        <w:t>（二）</w:t>
      </w:r>
      <w:r w:rsidRPr="00537BBB">
        <w:rPr>
          <w:rFonts w:ascii="宋体" w:hAnsi="宋体" w:hint="eastAsia"/>
          <w:b/>
          <w:color w:val="000000" w:themeColor="text1"/>
          <w:sz w:val="24"/>
          <w:szCs w:val="24"/>
        </w:rPr>
        <w:t>同类产品参考业绩比较基准</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根据产品存续期投资市场波动的预判（详见下表），按照本产品风险等级、投资方向与资产构成，以广州农商银行投资及风控策略为准则，并参考广州农商银行发行的同类型理财产品（运作期限、资产投向、投资策略类似的产品）过往</w:t>
      </w:r>
      <w:r w:rsidRPr="00537BBB">
        <w:rPr>
          <w:rFonts w:ascii="宋体" w:hAnsi="宋体" w:hint="eastAsia"/>
          <w:color w:val="000000" w:themeColor="text1"/>
          <w:sz w:val="24"/>
          <w:szCs w:val="24"/>
        </w:rPr>
        <w:lastRenderedPageBreak/>
        <w:t>业绩表现，确定本产品同类产品参考业绩比较基准。</w:t>
      </w:r>
    </w:p>
    <w:tbl>
      <w:tblPr>
        <w:tblpPr w:leftFromText="180" w:rightFromText="180" w:vertAnchor="text" w:horzAnchor="margin" w:tblpX="-318" w:tblpY="20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302"/>
        <w:gridCol w:w="1383"/>
        <w:gridCol w:w="2835"/>
      </w:tblGrid>
      <w:tr w:rsidR="00B37D2D" w:rsidRPr="00537BBB" w:rsidTr="00AC3BF7">
        <w:trPr>
          <w:trHeight w:val="274"/>
        </w:trPr>
        <w:tc>
          <w:tcPr>
            <w:tcW w:w="2660" w:type="dxa"/>
            <w:vAlign w:val="center"/>
          </w:tcPr>
          <w:p w:rsidR="00B37D2D" w:rsidRPr="00537BBB" w:rsidRDefault="00B37D2D" w:rsidP="00AC3BF7">
            <w:pPr>
              <w:ind w:firstLineChars="200" w:firstLine="442"/>
              <w:jc w:val="center"/>
              <w:rPr>
                <w:rFonts w:ascii="宋体" w:hAnsi="宋体"/>
                <w:b/>
                <w:color w:val="000000" w:themeColor="text1"/>
                <w:sz w:val="22"/>
                <w:szCs w:val="24"/>
              </w:rPr>
            </w:pPr>
            <w:r w:rsidRPr="00537BBB">
              <w:rPr>
                <w:rFonts w:ascii="宋体" w:hAnsi="宋体" w:hint="eastAsia"/>
                <w:b/>
                <w:color w:val="000000" w:themeColor="text1"/>
                <w:sz w:val="22"/>
                <w:szCs w:val="24"/>
              </w:rPr>
              <w:t>投资范围</w:t>
            </w:r>
          </w:p>
        </w:tc>
        <w:tc>
          <w:tcPr>
            <w:tcW w:w="2302" w:type="dxa"/>
            <w:vAlign w:val="center"/>
          </w:tcPr>
          <w:p w:rsidR="00B37D2D" w:rsidRPr="00537BBB" w:rsidRDefault="00B37D2D" w:rsidP="00AC3BF7">
            <w:pPr>
              <w:ind w:firstLine="0"/>
              <w:jc w:val="center"/>
              <w:rPr>
                <w:rFonts w:ascii="宋体" w:hAnsi="宋体"/>
                <w:b/>
                <w:color w:val="000000" w:themeColor="text1"/>
                <w:sz w:val="22"/>
                <w:szCs w:val="24"/>
              </w:rPr>
            </w:pPr>
            <w:r w:rsidRPr="00537BBB">
              <w:rPr>
                <w:rFonts w:ascii="宋体" w:hAnsi="宋体" w:hint="eastAsia"/>
                <w:b/>
                <w:color w:val="000000" w:themeColor="text1"/>
                <w:sz w:val="22"/>
                <w:szCs w:val="24"/>
              </w:rPr>
              <w:t>模拟投资年化收益率</w:t>
            </w:r>
          </w:p>
        </w:tc>
        <w:tc>
          <w:tcPr>
            <w:tcW w:w="1383" w:type="dxa"/>
            <w:vAlign w:val="center"/>
          </w:tcPr>
          <w:p w:rsidR="00B37D2D" w:rsidRPr="00537BBB" w:rsidRDefault="00B37D2D" w:rsidP="00AC3BF7">
            <w:pPr>
              <w:ind w:firstLine="0"/>
              <w:jc w:val="center"/>
              <w:rPr>
                <w:rFonts w:ascii="宋体" w:hAnsi="宋体"/>
                <w:b/>
                <w:color w:val="000000" w:themeColor="text1"/>
                <w:sz w:val="22"/>
                <w:szCs w:val="24"/>
              </w:rPr>
            </w:pPr>
            <w:r w:rsidRPr="00537BBB">
              <w:rPr>
                <w:rFonts w:ascii="宋体" w:hAnsi="宋体" w:hint="eastAsia"/>
                <w:b/>
                <w:color w:val="000000" w:themeColor="text1"/>
                <w:sz w:val="22"/>
                <w:szCs w:val="24"/>
              </w:rPr>
              <w:t>投资比例</w:t>
            </w:r>
          </w:p>
        </w:tc>
        <w:tc>
          <w:tcPr>
            <w:tcW w:w="2835" w:type="dxa"/>
            <w:vAlign w:val="center"/>
          </w:tcPr>
          <w:p w:rsidR="00B37D2D" w:rsidRPr="00537BBB" w:rsidRDefault="00B37D2D" w:rsidP="00AC3BF7">
            <w:pPr>
              <w:ind w:firstLine="0"/>
              <w:jc w:val="center"/>
              <w:rPr>
                <w:rFonts w:ascii="宋体" w:hAnsi="宋体"/>
                <w:b/>
                <w:color w:val="000000" w:themeColor="text1"/>
                <w:sz w:val="22"/>
                <w:szCs w:val="24"/>
              </w:rPr>
            </w:pPr>
            <w:r w:rsidRPr="00537BBB">
              <w:rPr>
                <w:rFonts w:ascii="宋体" w:hAnsi="宋体" w:hint="eastAsia"/>
                <w:b/>
                <w:color w:val="000000" w:themeColor="text1"/>
                <w:sz w:val="22"/>
                <w:szCs w:val="24"/>
              </w:rPr>
              <w:t>测算依据</w:t>
            </w:r>
          </w:p>
        </w:tc>
      </w:tr>
      <w:tr w:rsidR="00B37D2D" w:rsidRPr="00537BBB" w:rsidTr="00AC3BF7">
        <w:trPr>
          <w:trHeight w:val="225"/>
        </w:trPr>
        <w:tc>
          <w:tcPr>
            <w:tcW w:w="2660"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现金、货币市场工具</w:t>
            </w:r>
          </w:p>
        </w:tc>
        <w:tc>
          <w:tcPr>
            <w:tcW w:w="2302"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0.35%-3.0%</w:t>
            </w:r>
          </w:p>
        </w:tc>
        <w:tc>
          <w:tcPr>
            <w:tcW w:w="1383" w:type="dxa"/>
            <w:vMerge w:val="restart"/>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80-100%</w:t>
            </w:r>
          </w:p>
        </w:tc>
        <w:tc>
          <w:tcPr>
            <w:tcW w:w="2835"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参考7天质押式逆回购利率</w:t>
            </w:r>
          </w:p>
        </w:tc>
      </w:tr>
      <w:tr w:rsidR="00B37D2D" w:rsidRPr="00537BBB" w:rsidTr="00AC3BF7">
        <w:trPr>
          <w:trHeight w:val="195"/>
        </w:trPr>
        <w:tc>
          <w:tcPr>
            <w:tcW w:w="2660"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存放同业</w:t>
            </w:r>
          </w:p>
        </w:tc>
        <w:tc>
          <w:tcPr>
            <w:tcW w:w="2302" w:type="dxa"/>
            <w:vAlign w:val="center"/>
          </w:tcPr>
          <w:p w:rsidR="00B37D2D" w:rsidRPr="00537BBB" w:rsidRDefault="00B37D2D" w:rsidP="008C352D">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1.0%-</w:t>
            </w:r>
            <w:r w:rsidR="008C352D" w:rsidRPr="00537BBB">
              <w:rPr>
                <w:rFonts w:ascii="宋体" w:hAnsi="宋体" w:hint="eastAsia"/>
                <w:color w:val="000000" w:themeColor="text1"/>
                <w:sz w:val="22"/>
                <w:szCs w:val="24"/>
              </w:rPr>
              <w:t>3</w:t>
            </w:r>
            <w:r w:rsidRPr="00537BBB">
              <w:rPr>
                <w:rFonts w:ascii="宋体" w:hAnsi="宋体" w:hint="eastAsia"/>
                <w:color w:val="000000" w:themeColor="text1"/>
                <w:sz w:val="22"/>
                <w:szCs w:val="24"/>
              </w:rPr>
              <w:t>.5%</w:t>
            </w:r>
          </w:p>
        </w:tc>
        <w:tc>
          <w:tcPr>
            <w:tcW w:w="1383" w:type="dxa"/>
            <w:vMerge/>
            <w:vAlign w:val="center"/>
          </w:tcPr>
          <w:p w:rsidR="00B37D2D" w:rsidRPr="00537BBB" w:rsidRDefault="00B37D2D" w:rsidP="00AC3BF7">
            <w:pPr>
              <w:ind w:firstLine="0"/>
              <w:jc w:val="center"/>
              <w:rPr>
                <w:rFonts w:ascii="宋体" w:hAnsi="宋体"/>
                <w:color w:val="000000" w:themeColor="text1"/>
                <w:sz w:val="22"/>
                <w:szCs w:val="24"/>
              </w:rPr>
            </w:pPr>
          </w:p>
        </w:tc>
        <w:tc>
          <w:tcPr>
            <w:tcW w:w="2835" w:type="dxa"/>
            <w:vAlign w:val="center"/>
          </w:tcPr>
          <w:p w:rsidR="00B37D2D" w:rsidRPr="00537BBB" w:rsidRDefault="00B37D2D" w:rsidP="008828ED">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参考</w:t>
            </w:r>
            <w:r w:rsidR="008828ED" w:rsidRPr="00537BBB">
              <w:rPr>
                <w:rFonts w:ascii="宋体" w:hAnsi="宋体" w:hint="eastAsia"/>
                <w:color w:val="000000" w:themeColor="text1"/>
                <w:sz w:val="22"/>
                <w:szCs w:val="24"/>
              </w:rPr>
              <w:t>近期同业存放利率</w:t>
            </w:r>
          </w:p>
        </w:tc>
      </w:tr>
      <w:tr w:rsidR="00B37D2D" w:rsidRPr="00537BBB" w:rsidTr="00AC3BF7">
        <w:trPr>
          <w:trHeight w:val="195"/>
        </w:trPr>
        <w:tc>
          <w:tcPr>
            <w:tcW w:w="2660"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利率债</w:t>
            </w:r>
          </w:p>
        </w:tc>
        <w:tc>
          <w:tcPr>
            <w:tcW w:w="2302"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1.5%-4.0%</w:t>
            </w:r>
          </w:p>
        </w:tc>
        <w:tc>
          <w:tcPr>
            <w:tcW w:w="1383" w:type="dxa"/>
            <w:vMerge/>
            <w:vAlign w:val="center"/>
          </w:tcPr>
          <w:p w:rsidR="00B37D2D" w:rsidRPr="00537BBB" w:rsidRDefault="00B37D2D" w:rsidP="00AC3BF7">
            <w:pPr>
              <w:ind w:firstLine="0"/>
              <w:jc w:val="center"/>
              <w:rPr>
                <w:rFonts w:ascii="宋体" w:hAnsi="宋体"/>
                <w:color w:val="000000" w:themeColor="text1"/>
                <w:sz w:val="22"/>
                <w:szCs w:val="24"/>
              </w:rPr>
            </w:pPr>
          </w:p>
        </w:tc>
        <w:tc>
          <w:tcPr>
            <w:tcW w:w="2835"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参考近期利率债票面利率</w:t>
            </w:r>
          </w:p>
        </w:tc>
      </w:tr>
      <w:tr w:rsidR="00B37D2D" w:rsidRPr="00537BBB" w:rsidTr="00AC3BF7">
        <w:trPr>
          <w:trHeight w:val="195"/>
        </w:trPr>
        <w:tc>
          <w:tcPr>
            <w:tcW w:w="2660"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公司债</w:t>
            </w:r>
          </w:p>
        </w:tc>
        <w:tc>
          <w:tcPr>
            <w:tcW w:w="2302"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2.0%-5.0%</w:t>
            </w:r>
          </w:p>
        </w:tc>
        <w:tc>
          <w:tcPr>
            <w:tcW w:w="1383" w:type="dxa"/>
            <w:vMerge/>
            <w:vAlign w:val="center"/>
          </w:tcPr>
          <w:p w:rsidR="00B37D2D" w:rsidRPr="00537BBB" w:rsidRDefault="00B37D2D" w:rsidP="00AC3BF7">
            <w:pPr>
              <w:ind w:firstLine="0"/>
              <w:jc w:val="center"/>
              <w:rPr>
                <w:rFonts w:ascii="宋体" w:hAnsi="宋体"/>
                <w:color w:val="000000" w:themeColor="text1"/>
                <w:sz w:val="22"/>
                <w:szCs w:val="24"/>
              </w:rPr>
            </w:pPr>
          </w:p>
        </w:tc>
        <w:tc>
          <w:tcPr>
            <w:tcW w:w="2835"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参考近期公司债票面利率</w:t>
            </w:r>
          </w:p>
        </w:tc>
      </w:tr>
      <w:tr w:rsidR="00B37D2D" w:rsidRPr="00537BBB" w:rsidTr="00AC3BF7">
        <w:trPr>
          <w:trHeight w:val="195"/>
        </w:trPr>
        <w:tc>
          <w:tcPr>
            <w:tcW w:w="2660"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企业债</w:t>
            </w:r>
          </w:p>
        </w:tc>
        <w:tc>
          <w:tcPr>
            <w:tcW w:w="2302"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2.0%-5.0%</w:t>
            </w:r>
          </w:p>
        </w:tc>
        <w:tc>
          <w:tcPr>
            <w:tcW w:w="1383" w:type="dxa"/>
            <w:vMerge/>
            <w:vAlign w:val="center"/>
          </w:tcPr>
          <w:p w:rsidR="00B37D2D" w:rsidRPr="00537BBB" w:rsidRDefault="00B37D2D" w:rsidP="00AC3BF7">
            <w:pPr>
              <w:ind w:firstLine="0"/>
              <w:jc w:val="center"/>
              <w:rPr>
                <w:rFonts w:ascii="宋体" w:hAnsi="宋体"/>
                <w:color w:val="000000" w:themeColor="text1"/>
                <w:sz w:val="22"/>
                <w:szCs w:val="24"/>
              </w:rPr>
            </w:pPr>
          </w:p>
        </w:tc>
        <w:tc>
          <w:tcPr>
            <w:tcW w:w="2835"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参考近期企业债票面利率</w:t>
            </w:r>
          </w:p>
        </w:tc>
      </w:tr>
      <w:tr w:rsidR="00B37D2D" w:rsidRPr="00537BBB" w:rsidTr="00AC3BF7">
        <w:trPr>
          <w:trHeight w:val="150"/>
        </w:trPr>
        <w:tc>
          <w:tcPr>
            <w:tcW w:w="2660"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符合监管要求的其他债权资产</w:t>
            </w:r>
          </w:p>
        </w:tc>
        <w:tc>
          <w:tcPr>
            <w:tcW w:w="2302"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3.0%-6.0%</w:t>
            </w:r>
          </w:p>
        </w:tc>
        <w:tc>
          <w:tcPr>
            <w:tcW w:w="1383" w:type="dxa"/>
            <w:vMerge/>
            <w:vAlign w:val="center"/>
          </w:tcPr>
          <w:p w:rsidR="00B37D2D" w:rsidRPr="00537BBB" w:rsidRDefault="00B37D2D" w:rsidP="00AC3BF7">
            <w:pPr>
              <w:ind w:firstLine="0"/>
              <w:jc w:val="center"/>
              <w:rPr>
                <w:rFonts w:ascii="宋体" w:hAnsi="宋体"/>
                <w:color w:val="000000" w:themeColor="text1"/>
                <w:sz w:val="22"/>
                <w:szCs w:val="24"/>
              </w:rPr>
            </w:pPr>
          </w:p>
        </w:tc>
        <w:tc>
          <w:tcPr>
            <w:tcW w:w="2835"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参考历史投资标的收益率</w:t>
            </w:r>
          </w:p>
        </w:tc>
      </w:tr>
      <w:tr w:rsidR="00B37D2D" w:rsidRPr="00537BBB" w:rsidTr="00AC3BF7">
        <w:trPr>
          <w:trHeight w:val="150"/>
        </w:trPr>
        <w:tc>
          <w:tcPr>
            <w:tcW w:w="2660"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股票、股票基金等权益类资产</w:t>
            </w:r>
          </w:p>
        </w:tc>
        <w:tc>
          <w:tcPr>
            <w:tcW w:w="2302" w:type="dxa"/>
            <w:vAlign w:val="center"/>
          </w:tcPr>
          <w:p w:rsidR="00B37D2D" w:rsidRPr="00537BBB" w:rsidRDefault="008C35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-5.0</w:t>
            </w:r>
            <w:r w:rsidR="00B37D2D" w:rsidRPr="00537BBB">
              <w:rPr>
                <w:rFonts w:ascii="宋体" w:hAnsi="宋体" w:hint="eastAsia"/>
                <w:color w:val="000000" w:themeColor="text1"/>
                <w:sz w:val="22"/>
                <w:szCs w:val="24"/>
              </w:rPr>
              <w:t>%-10.0%</w:t>
            </w:r>
          </w:p>
        </w:tc>
        <w:tc>
          <w:tcPr>
            <w:tcW w:w="1383"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0-20%</w:t>
            </w:r>
          </w:p>
        </w:tc>
        <w:tc>
          <w:tcPr>
            <w:tcW w:w="2835" w:type="dxa"/>
            <w:vAlign w:val="center"/>
          </w:tcPr>
          <w:p w:rsidR="00B37D2D" w:rsidRPr="00537BBB" w:rsidRDefault="00B37D2D" w:rsidP="00AC3BF7">
            <w:pPr>
              <w:ind w:firstLine="0"/>
              <w:jc w:val="center"/>
              <w:rPr>
                <w:rFonts w:ascii="宋体" w:hAnsi="宋体"/>
                <w:color w:val="000000" w:themeColor="text1"/>
                <w:sz w:val="22"/>
                <w:szCs w:val="24"/>
              </w:rPr>
            </w:pPr>
            <w:r w:rsidRPr="00537BBB">
              <w:rPr>
                <w:rFonts w:ascii="宋体" w:hAnsi="宋体" w:hint="eastAsia"/>
                <w:color w:val="000000" w:themeColor="text1"/>
                <w:sz w:val="22"/>
                <w:szCs w:val="24"/>
              </w:rPr>
              <w:t>参考历史投资标的收益率</w:t>
            </w:r>
          </w:p>
        </w:tc>
      </w:tr>
    </w:tbl>
    <w:p w:rsidR="00B37D2D" w:rsidRPr="00537BBB" w:rsidRDefault="00B37D2D" w:rsidP="00B37D2D">
      <w:pPr>
        <w:ind w:firstLineChars="200" w:firstLine="480"/>
        <w:rPr>
          <w:rFonts w:ascii="宋体" w:hAnsi="宋体"/>
          <w:color w:val="000000" w:themeColor="text1"/>
          <w:sz w:val="24"/>
          <w:szCs w:val="24"/>
        </w:rPr>
      </w:pP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特别说明的是同类产品参考业绩比较基准不是理财产品预期收益率，不代表投资者可能获得的实际收益，仅作为产品投资管理的业绩目标，并用于计算管理费用，不构成对本理财产品的任何收益承诺或担保。客户的实际收益由产品到期日的净值决定。银行不负责代扣代缴投资者购买本产品的所得税款。</w:t>
      </w:r>
    </w:p>
    <w:p w:rsidR="00537BBB" w:rsidRPr="00537BBB" w:rsidRDefault="00537BBB" w:rsidP="00537BBB">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（三）计算示例</w:t>
      </w:r>
    </w:p>
    <w:p w:rsidR="00537BBB" w:rsidRPr="00537BBB" w:rsidRDefault="00537BBB" w:rsidP="00537BBB">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以某个客户投资认购 100 万份本理财产品（期初净值为1）为例，假设客户持有180天后赎回，赎回开放日公布的单位净值为 1.0216（已扣除销售费、固定管理费、估值核算费、托管费等费用），每单位份额收益为1.0216-1=0.0216，经换算后周期年化收益率约为4.38%。</w:t>
      </w:r>
    </w:p>
    <w:p w:rsidR="00537BBB" w:rsidRPr="00537BBB" w:rsidRDefault="00537BBB" w:rsidP="00537BBB">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若同类产品参考业绩比较基准为4.2%，则收取浮动管理费率I=(4.38%-4.2%) *</w:t>
      </w:r>
      <w:r>
        <w:rPr>
          <w:rFonts w:ascii="宋体" w:hAnsi="宋体" w:hint="eastAsia"/>
          <w:color w:val="000000" w:themeColor="text1"/>
          <w:sz w:val="24"/>
          <w:szCs w:val="24"/>
        </w:rPr>
        <w:t>8</w:t>
      </w:r>
      <w:r w:rsidRPr="00537BBB">
        <w:rPr>
          <w:rFonts w:ascii="宋体" w:hAnsi="宋体" w:hint="eastAsia"/>
          <w:color w:val="000000" w:themeColor="text1"/>
          <w:sz w:val="24"/>
          <w:szCs w:val="24"/>
        </w:rPr>
        <w:t>0%=0.1</w:t>
      </w:r>
      <w:r>
        <w:rPr>
          <w:rFonts w:ascii="宋体" w:hAnsi="宋体" w:hint="eastAsia"/>
          <w:color w:val="000000" w:themeColor="text1"/>
          <w:sz w:val="24"/>
          <w:szCs w:val="24"/>
        </w:rPr>
        <w:t>44</w:t>
      </w:r>
      <w:r w:rsidRPr="00537BBB">
        <w:rPr>
          <w:rFonts w:ascii="宋体" w:hAnsi="宋体" w:hint="eastAsia"/>
          <w:color w:val="000000" w:themeColor="text1"/>
          <w:sz w:val="24"/>
          <w:szCs w:val="24"/>
        </w:rPr>
        <w:t>%，则客户实际到期年化收益率约为4.2</w:t>
      </w:r>
      <w:r>
        <w:rPr>
          <w:rFonts w:ascii="宋体" w:hAnsi="宋体" w:hint="eastAsia"/>
          <w:color w:val="000000" w:themeColor="text1"/>
          <w:sz w:val="24"/>
          <w:szCs w:val="24"/>
        </w:rPr>
        <w:t>36</w:t>
      </w:r>
      <w:r w:rsidRPr="00537BBB">
        <w:rPr>
          <w:rFonts w:ascii="宋体" w:hAnsi="宋体" w:hint="eastAsia"/>
          <w:color w:val="000000" w:themeColor="text1"/>
          <w:sz w:val="24"/>
          <w:szCs w:val="24"/>
        </w:rPr>
        <w:t>%。</w:t>
      </w:r>
    </w:p>
    <w:p w:rsidR="00537BBB" w:rsidRPr="00537BBB" w:rsidRDefault="00537BBB" w:rsidP="00537BBB">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若同类产品参考业绩比较基准为4.4%，则不收取浮动管理费，客户实际到期年化收益率约为4.38%。</w:t>
      </w:r>
    </w:p>
    <w:p w:rsidR="00537BBB" w:rsidRPr="00537BBB" w:rsidRDefault="00537BBB" w:rsidP="00537BBB">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（四）风险示例</w:t>
      </w:r>
    </w:p>
    <w:p w:rsidR="00537BBB" w:rsidRPr="00537BBB" w:rsidRDefault="00537BBB" w:rsidP="00537BBB">
      <w:pPr>
        <w:spacing w:line="300" w:lineRule="exact"/>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本理财产品同类产品参考业绩比较基准不构成对投资收益的承诺或担保。在投资组合可能发生损失，在最不利的情况下，本理财产品的本金及收益可能发生损失。</w:t>
      </w:r>
    </w:p>
    <w:p w:rsidR="00B37D2D" w:rsidRPr="00537BBB" w:rsidRDefault="00B37D2D" w:rsidP="00B37D2D">
      <w:pPr>
        <w:spacing w:line="300" w:lineRule="exact"/>
        <w:ind w:firstLineChars="200" w:firstLine="420"/>
        <w:rPr>
          <w:rFonts w:ascii="宋体" w:hAnsi="宋体"/>
          <w:color w:val="000000" w:themeColor="text1"/>
          <w:szCs w:val="21"/>
        </w:rPr>
      </w:pPr>
    </w:p>
    <w:p w:rsidR="00B37D2D" w:rsidRPr="00537BBB" w:rsidRDefault="00B37D2D" w:rsidP="00B37D2D">
      <w:pPr>
        <w:pStyle w:val="a7"/>
        <w:spacing w:before="240" w:after="0"/>
        <w:ind w:firstLineChars="196" w:firstLine="472"/>
        <w:rPr>
          <w:rFonts w:ascii="宋体" w:hAnsi="宋体"/>
          <w:b/>
          <w:bCs/>
          <w:color w:val="000000" w:themeColor="text1"/>
          <w:sz w:val="24"/>
        </w:rPr>
      </w:pPr>
      <w:r w:rsidRPr="00537BBB">
        <w:rPr>
          <w:rFonts w:ascii="宋体" w:hAnsi="宋体" w:hint="eastAsia"/>
          <w:b/>
          <w:bCs/>
          <w:color w:val="000000" w:themeColor="text1"/>
          <w:sz w:val="24"/>
        </w:rPr>
        <w:t>七、产品费用说明</w:t>
      </w:r>
    </w:p>
    <w:p w:rsidR="00B37D2D" w:rsidRPr="00537BBB" w:rsidRDefault="00B37D2D" w:rsidP="00B37D2D">
      <w:pPr>
        <w:spacing w:line="300" w:lineRule="exact"/>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1、本产品的费用包括托管费、销售费、固定管理费、估值核算费、浮动管理费，以及按照国家规定可以列入的其他费用。管理人因管理、运营理财产品发生的税费由产品资产承担。法律法规另有规定时从其规定。</w:t>
      </w:r>
    </w:p>
    <w:p w:rsidR="00B37D2D" w:rsidRPr="00537BBB" w:rsidRDefault="00B37D2D" w:rsidP="00B37D2D">
      <w:pPr>
        <w:spacing w:line="300" w:lineRule="exact"/>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2、托管费。托管费每日按照当日产品份额为基数计提，即每日计提托管费=当日产品份额*托管费率/365。</w:t>
      </w:r>
    </w:p>
    <w:p w:rsidR="00B37D2D" w:rsidRPr="00537BBB" w:rsidRDefault="00B37D2D" w:rsidP="00B37D2D">
      <w:pPr>
        <w:spacing w:line="300" w:lineRule="exact"/>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3、销售费。销售费每日按照当日产品份额为基数计提，即每日计提销售费=当日产品份额*销售费率/365。</w:t>
      </w:r>
    </w:p>
    <w:p w:rsidR="00B37D2D" w:rsidRPr="00537BBB" w:rsidRDefault="00B37D2D" w:rsidP="00B37D2D">
      <w:pPr>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4、固定管理费。固定管理费按照当日产品份额为基数计提，即每日计提固定管理费=当日产品份额*固定管理费率/365。</w:t>
      </w:r>
    </w:p>
    <w:p w:rsidR="00B37D2D" w:rsidRPr="00537BBB" w:rsidRDefault="00B37D2D" w:rsidP="00B37D2D">
      <w:pPr>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5、估值核算费。估值核算费按照当日产品份额为基数计提，即每日计提估值核算费=当日产品份额*估值核算率/365。</w:t>
      </w:r>
    </w:p>
    <w:p w:rsidR="00B37D2D" w:rsidRPr="00537BBB" w:rsidRDefault="00B37D2D" w:rsidP="00B37D2D">
      <w:pPr>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6、浮动管理费。广州农商银行有权收取浮动管理费。浮动管理费在产品开</w:t>
      </w:r>
      <w:r w:rsidRPr="00537BBB">
        <w:rPr>
          <w:rFonts w:ascii="宋体" w:hAnsi="宋体" w:cs="宋体" w:hint="eastAsia"/>
          <w:color w:val="000000" w:themeColor="text1"/>
          <w:kern w:val="0"/>
          <w:sz w:val="24"/>
          <w:szCs w:val="24"/>
        </w:rPr>
        <w:lastRenderedPageBreak/>
        <w:t>放日进行计提，若产品投资组合净值超出同类产品参考业绩比较基准、销售费、固定管理费、估值核算费、托管费等费用之和的部分（如有），管理人将按照投资周期收取浮动管理费，即浮动管理费=周期到期日前一工作日产品累计单位净值×产品份额×产品周期运作期限×浮动管理费率/365。</w:t>
      </w:r>
    </w:p>
    <w:p w:rsidR="00B37D2D" w:rsidRPr="00537BBB" w:rsidRDefault="00B37D2D" w:rsidP="00B37D2D">
      <w:pPr>
        <w:ind w:firstLineChars="177" w:firstLine="425"/>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若理财产品实际收益等于或小于同类产品参考业绩比较基准收益、管理费、估值核算费、产品托管费等费用之和，广州农商银行则不收取浮动管理费。</w:t>
      </w:r>
    </w:p>
    <w:p w:rsidR="00B37D2D" w:rsidRPr="00537BBB" w:rsidRDefault="00B37D2D" w:rsidP="00B37D2D">
      <w:pPr>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设浮动管理费率为I，周期到期年化收益率为R，产品同类产品参考业绩比较基准为r 。其中R=(周期到期日前一工作日净值-周期开放日净值)/周期开放日净值×365/周期运作期限。则浮动管理费的收取规则如下：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61"/>
        <w:gridCol w:w="4261"/>
      </w:tblGrid>
      <w:tr w:rsidR="00B37D2D" w:rsidRPr="00537BBB" w:rsidTr="00AC3BF7">
        <w:tc>
          <w:tcPr>
            <w:tcW w:w="4261" w:type="dxa"/>
          </w:tcPr>
          <w:p w:rsidR="00B37D2D" w:rsidRPr="00537BBB" w:rsidRDefault="00B37D2D" w:rsidP="00AC3BF7">
            <w:pPr>
              <w:ind w:firstLine="0"/>
              <w:jc w:val="center"/>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浮动管理费计提前的到期年化收益率</w:t>
            </w:r>
          </w:p>
        </w:tc>
        <w:tc>
          <w:tcPr>
            <w:tcW w:w="4261" w:type="dxa"/>
          </w:tcPr>
          <w:p w:rsidR="00B37D2D" w:rsidRPr="00537BBB" w:rsidRDefault="00B37D2D" w:rsidP="00AC3BF7">
            <w:pPr>
              <w:ind w:firstLine="0"/>
              <w:jc w:val="center"/>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浮动管理费率I</w:t>
            </w:r>
          </w:p>
        </w:tc>
      </w:tr>
      <w:tr w:rsidR="00B37D2D" w:rsidRPr="00537BBB" w:rsidTr="00AC3BF7">
        <w:tc>
          <w:tcPr>
            <w:tcW w:w="4261" w:type="dxa"/>
          </w:tcPr>
          <w:p w:rsidR="00B37D2D" w:rsidRPr="00537BBB" w:rsidRDefault="00B37D2D" w:rsidP="00AC3BF7">
            <w:pPr>
              <w:ind w:firstLine="0"/>
              <w:jc w:val="center"/>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R＜r</w:t>
            </w:r>
          </w:p>
        </w:tc>
        <w:tc>
          <w:tcPr>
            <w:tcW w:w="4261" w:type="dxa"/>
          </w:tcPr>
          <w:p w:rsidR="00B37D2D" w:rsidRPr="00537BBB" w:rsidRDefault="00B37D2D" w:rsidP="00AC3BF7">
            <w:pPr>
              <w:ind w:firstLine="0"/>
              <w:jc w:val="center"/>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I=0</w:t>
            </w:r>
          </w:p>
        </w:tc>
      </w:tr>
      <w:tr w:rsidR="00B37D2D" w:rsidRPr="00537BBB" w:rsidTr="00AC3BF7">
        <w:tc>
          <w:tcPr>
            <w:tcW w:w="4261" w:type="dxa"/>
          </w:tcPr>
          <w:p w:rsidR="00B37D2D" w:rsidRPr="00537BBB" w:rsidRDefault="00B37D2D" w:rsidP="00AC3BF7">
            <w:pPr>
              <w:ind w:firstLine="0"/>
              <w:jc w:val="center"/>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R＞r</w:t>
            </w:r>
          </w:p>
        </w:tc>
        <w:tc>
          <w:tcPr>
            <w:tcW w:w="4261" w:type="dxa"/>
          </w:tcPr>
          <w:p w:rsidR="00B37D2D" w:rsidRPr="00537BBB" w:rsidRDefault="00B37D2D" w:rsidP="00537BBB">
            <w:pPr>
              <w:ind w:firstLine="0"/>
              <w:jc w:val="center"/>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I= (R-r)*</w:t>
            </w:r>
            <w:r w:rsidR="00537BBB">
              <w:rPr>
                <w:rFonts w:ascii="宋体" w:hAnsi="宋体" w:cs="宋体" w:hint="eastAsia"/>
                <w:b/>
                <w:color w:val="000000" w:themeColor="text1"/>
                <w:kern w:val="0"/>
                <w:sz w:val="24"/>
                <w:szCs w:val="24"/>
              </w:rPr>
              <w:t>8</w:t>
            </w:r>
            <w:r w:rsidR="00AC3BF7" w:rsidRPr="00537BBB">
              <w:rPr>
                <w:rFonts w:ascii="宋体" w:hAnsi="宋体" w:cs="宋体" w:hint="eastAsia"/>
                <w:b/>
                <w:color w:val="000000" w:themeColor="text1"/>
                <w:kern w:val="0"/>
                <w:sz w:val="24"/>
                <w:szCs w:val="24"/>
              </w:rPr>
              <w:t>0</w:t>
            </w:r>
            <w:r w:rsidRPr="00537BBB">
              <w:rPr>
                <w:rFonts w:ascii="宋体" w:hAnsi="宋体" w:cs="宋体" w:hint="eastAsia"/>
                <w:b/>
                <w:color w:val="000000" w:themeColor="text1"/>
                <w:kern w:val="0"/>
                <w:sz w:val="24"/>
                <w:szCs w:val="24"/>
              </w:rPr>
              <w:t>%</w:t>
            </w:r>
          </w:p>
        </w:tc>
      </w:tr>
    </w:tbl>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7、</w:t>
      </w:r>
      <w:r w:rsidRPr="00537BBB">
        <w:rPr>
          <w:rFonts w:ascii="宋体" w:hAnsi="宋体"/>
          <w:color w:val="000000" w:themeColor="text1"/>
          <w:sz w:val="24"/>
          <w:szCs w:val="24"/>
        </w:rPr>
        <w:t>增值税及附加税费</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s="宋体"/>
          <w:color w:val="000000" w:themeColor="text1"/>
          <w:kern w:val="0"/>
          <w:sz w:val="24"/>
          <w:szCs w:val="24"/>
        </w:rPr>
        <w:t>根据中国增值税相关法律法规、税收政策等要求，理财产品运营过程中发生的增值税应税行为，以理财产品管理人为纳税人。签约各方同意本理财产品在运营过程应缴纳的增值税及附加税费（包括但不限于，城市维护建设税、教育费附加及地方教育附加等）由管理人从理财产品财产中支付，并依据中国税务机关要求，履行相关纳税申报义务。</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olor w:val="000000" w:themeColor="text1"/>
          <w:sz w:val="24"/>
          <w:szCs w:val="24"/>
        </w:rPr>
        <w:t>投资者从理财产品取得的收益应缴纳的税款，由投资者自行申报及缴纳。</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8、</w:t>
      </w:r>
      <w:r w:rsidRPr="00537BBB">
        <w:rPr>
          <w:rFonts w:ascii="宋体" w:hAnsi="宋体"/>
          <w:color w:val="000000" w:themeColor="text1"/>
          <w:sz w:val="24"/>
          <w:szCs w:val="24"/>
        </w:rPr>
        <w:t>其它费用</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olor w:val="000000" w:themeColor="text1"/>
          <w:sz w:val="24"/>
          <w:szCs w:val="24"/>
        </w:rPr>
        <w:t>除管理费、托管费、销售费、</w:t>
      </w:r>
      <w:r w:rsidRPr="00537BBB">
        <w:rPr>
          <w:rFonts w:ascii="宋体" w:hAnsi="宋体" w:hint="eastAsia"/>
          <w:color w:val="000000" w:themeColor="text1"/>
          <w:sz w:val="24"/>
          <w:szCs w:val="24"/>
        </w:rPr>
        <w:t>估值核算费、</w:t>
      </w:r>
      <w:r w:rsidRPr="00537BBB">
        <w:rPr>
          <w:rFonts w:ascii="宋体" w:hAnsi="宋体"/>
          <w:color w:val="000000" w:themeColor="text1"/>
          <w:sz w:val="24"/>
          <w:szCs w:val="24"/>
        </w:rPr>
        <w:t>申购和赎回费、增值税</w:t>
      </w:r>
      <w:r w:rsidRPr="00537BBB">
        <w:rPr>
          <w:rFonts w:ascii="宋体" w:hAnsi="宋体" w:hint="eastAsia"/>
          <w:color w:val="000000" w:themeColor="text1"/>
          <w:sz w:val="24"/>
          <w:szCs w:val="24"/>
        </w:rPr>
        <w:t>、浮动管理费</w:t>
      </w:r>
      <w:r w:rsidRPr="00537BBB">
        <w:rPr>
          <w:rFonts w:ascii="宋体" w:hAnsi="宋体"/>
          <w:color w:val="000000" w:themeColor="text1"/>
          <w:sz w:val="24"/>
          <w:szCs w:val="24"/>
        </w:rPr>
        <w:t>及附加税费之外的产品费用，由产品管理人或托管人根据其他有关法规及相应协议的规定，按费用支出金额支付，列入或摊入当期产品费用。</w:t>
      </w:r>
    </w:p>
    <w:p w:rsidR="00B37D2D" w:rsidRPr="00537BBB" w:rsidRDefault="00B37D2D" w:rsidP="00B37D2D">
      <w:pPr>
        <w:spacing w:line="300" w:lineRule="exact"/>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如存在其他按国家相关法律法规规定应由本产品份额持有人支付的费用，管理人和托管人有权根据实际情况在两方协商一致后增加收费项目，并最晚在变更前五个工作日披露相关信息。</w:t>
      </w:r>
    </w:p>
    <w:p w:rsidR="00B37D2D" w:rsidRPr="00537BBB" w:rsidRDefault="00B37D2D" w:rsidP="00B37D2D">
      <w:pPr>
        <w:pStyle w:val="a7"/>
        <w:spacing w:before="240" w:after="0"/>
        <w:ind w:firstLineChars="200" w:firstLine="482"/>
        <w:rPr>
          <w:rFonts w:ascii="宋体" w:hAnsi="宋体"/>
          <w:b/>
          <w:color w:val="000000" w:themeColor="text1"/>
          <w:sz w:val="24"/>
        </w:rPr>
      </w:pPr>
      <w:r w:rsidRPr="00537BBB">
        <w:rPr>
          <w:rFonts w:ascii="宋体" w:hAnsi="宋体" w:hint="eastAsia"/>
          <w:b/>
          <w:color w:val="000000" w:themeColor="text1"/>
          <w:sz w:val="24"/>
        </w:rPr>
        <w:t xml:space="preserve">八、理财产品估值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（一）估值日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本理财产品估值日为产品存续期间工作日/交易日。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（二）估值对象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本理财产品所持有的所有资产。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（三）估值方法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本理财产品实行净值化管理，坚持公允价值计量原则。</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具体资产估值方法如下：</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1、存款类资产、债券拆借及回购采用成本法估值，以本金列示，按商定利率在实际持有期间逐日计提利息。</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2、债券的估值方法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以持有到期为目的持有的债券采用摊余成本+影子定价估值。摊余成本即以买入成本列示，按照票面利率或商定利率并考虑其买入时的溢价与折价，在其剩余期限内平均摊销，每日计提收益。其中实际利率是将预期存续期间的现金流量，折现为资产当前账面价值时所使用的利率。</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（2）以交易为目的持有的债券按市价法估值。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3、证券投资基金估值方法</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lastRenderedPageBreak/>
        <w:t>1）非上市基金估值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（1）投资于境内货币市场基金的，按所投资基金前一估值日后至估值日期间（含节假日）的万份收益计提估值日基金收益；</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w:t>
      </w:r>
      <w:r w:rsidRPr="00537BBB">
        <w:rPr>
          <w:rFonts w:ascii="宋体" w:hAnsi="宋体"/>
          <w:color w:val="000000" w:themeColor="text1"/>
          <w:sz w:val="24"/>
          <w:szCs w:val="24"/>
        </w:rPr>
        <w:t>2</w:t>
      </w:r>
      <w:r w:rsidRPr="00537BBB">
        <w:rPr>
          <w:rFonts w:ascii="宋体" w:hAnsi="宋体" w:hint="eastAsia"/>
          <w:color w:val="000000" w:themeColor="text1"/>
          <w:sz w:val="24"/>
          <w:szCs w:val="24"/>
        </w:rPr>
        <w:t>）投资于境内非货币市场基金的，按所投资基金估值日的份额净值估值；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2）上市基金估值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（1）投资于ETF 基金的，按所投资 ETF 基金估值日的收盘价估值；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w:t>
      </w:r>
      <w:r w:rsidRPr="00537BBB">
        <w:rPr>
          <w:rFonts w:ascii="宋体" w:hAnsi="宋体"/>
          <w:color w:val="000000" w:themeColor="text1"/>
          <w:sz w:val="24"/>
          <w:szCs w:val="24"/>
        </w:rPr>
        <w:t>2</w:t>
      </w:r>
      <w:r w:rsidRPr="00537BBB">
        <w:rPr>
          <w:rFonts w:ascii="宋体" w:hAnsi="宋体" w:hint="eastAsia"/>
          <w:color w:val="000000" w:themeColor="text1"/>
          <w:sz w:val="24"/>
          <w:szCs w:val="24"/>
        </w:rPr>
        <w:t>）投资于境内上市开放式基金（LOF），按所投资基金估值日的份额净值估值；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w:t>
      </w:r>
      <w:r w:rsidRPr="00537BBB">
        <w:rPr>
          <w:rFonts w:ascii="宋体" w:hAnsi="宋体"/>
          <w:color w:val="000000" w:themeColor="text1"/>
          <w:sz w:val="24"/>
          <w:szCs w:val="24"/>
        </w:rPr>
        <w:t>3</w:t>
      </w:r>
      <w:r w:rsidRPr="00537BBB">
        <w:rPr>
          <w:rFonts w:ascii="宋体" w:hAnsi="宋体" w:hint="eastAsia"/>
          <w:color w:val="000000" w:themeColor="text1"/>
          <w:sz w:val="24"/>
          <w:szCs w:val="24"/>
        </w:rPr>
        <w:t>）投资于境内上市定期开放式基金、封闭式基金的，按所投资基金估值日的收盘价估值；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w:t>
      </w:r>
      <w:r w:rsidRPr="00537BBB">
        <w:rPr>
          <w:rFonts w:ascii="宋体" w:hAnsi="宋体"/>
          <w:color w:val="000000" w:themeColor="text1"/>
          <w:sz w:val="24"/>
          <w:szCs w:val="24"/>
        </w:rPr>
        <w:t>4</w:t>
      </w:r>
      <w:r w:rsidRPr="00537BBB">
        <w:rPr>
          <w:rFonts w:ascii="宋体" w:hAnsi="宋体" w:hint="eastAsia"/>
          <w:color w:val="000000" w:themeColor="text1"/>
          <w:sz w:val="24"/>
          <w:szCs w:val="24"/>
        </w:rPr>
        <w:t>）投资于境内上市交易型货币市场基金的，如所投资基金披露份额净值，则按所投资基金估值日的份额净值估值；如所投资基金披露万份（百份）收益，则按所投资基金前一估值日后至估值日期间（含节假日）的万份（百份）收益计提估值日基金收益。</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olor w:val="000000" w:themeColor="text1"/>
          <w:sz w:val="24"/>
          <w:szCs w:val="24"/>
        </w:rPr>
        <w:t>4</w:t>
      </w:r>
      <w:r w:rsidRPr="00537BBB">
        <w:rPr>
          <w:rFonts w:ascii="宋体" w:hAnsi="宋体" w:hint="eastAsia"/>
          <w:color w:val="000000" w:themeColor="text1"/>
          <w:sz w:val="24"/>
          <w:szCs w:val="24"/>
        </w:rPr>
        <w:t>、非标准化债权资产的估值方法</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（1）投资于信托计划受益权、资产管理计划收益权的资产，按受托人或管理人与托管人约定的估值方案进行估值；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w:t>
      </w:r>
      <w:r w:rsidRPr="00537BBB">
        <w:rPr>
          <w:rFonts w:ascii="宋体" w:hAnsi="宋体"/>
          <w:color w:val="000000" w:themeColor="text1"/>
          <w:sz w:val="24"/>
          <w:szCs w:val="24"/>
        </w:rPr>
        <w:t>2</w:t>
      </w:r>
      <w:r w:rsidRPr="00537BBB">
        <w:rPr>
          <w:rFonts w:ascii="宋体" w:hAnsi="宋体" w:hint="eastAsia"/>
          <w:color w:val="000000" w:themeColor="text1"/>
          <w:sz w:val="24"/>
          <w:szCs w:val="24"/>
        </w:rPr>
        <w:t>）对于不活跃公开交易的资产，按成本法估值，如资产存续期间发生影响资产未来现金流的重大事件的，经管理人合理判断对资产价值进行重估。</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olor w:val="000000" w:themeColor="text1"/>
          <w:sz w:val="24"/>
          <w:szCs w:val="24"/>
        </w:rPr>
        <w:t>5</w:t>
      </w:r>
      <w:r w:rsidRPr="00537BBB">
        <w:rPr>
          <w:rFonts w:ascii="宋体" w:hAnsi="宋体" w:hint="eastAsia"/>
          <w:color w:val="000000" w:themeColor="text1"/>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olor w:val="000000" w:themeColor="text1"/>
          <w:sz w:val="24"/>
          <w:szCs w:val="24"/>
        </w:rPr>
        <w:t>6</w:t>
      </w:r>
      <w:r w:rsidRPr="00537BBB">
        <w:rPr>
          <w:rFonts w:ascii="宋体" w:hAnsi="宋体" w:hint="eastAsia"/>
          <w:color w:val="000000" w:themeColor="text1"/>
          <w:sz w:val="24"/>
          <w:szCs w:val="24"/>
        </w:rPr>
        <w:t xml:space="preserve">、其他资产的估值方法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若本产品存续期间持有其他投资品种，以管理人和托管人共同认可的方法计算其价值，如存在并可以确定公允价值的，以公允价值计算，公允价值不能确定的按取得时的成本计算。</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olor w:val="000000" w:themeColor="text1"/>
          <w:sz w:val="24"/>
          <w:szCs w:val="24"/>
        </w:rPr>
        <w:t>7</w:t>
      </w:r>
      <w:r w:rsidRPr="00537BBB">
        <w:rPr>
          <w:rFonts w:ascii="宋体" w:hAnsi="宋体" w:hint="eastAsia"/>
          <w:color w:val="000000" w:themeColor="text1"/>
          <w:sz w:val="24"/>
          <w:szCs w:val="24"/>
        </w:rPr>
        <w:t>、当理财产品管理人认为按上述方法对理财产品进行估值不能客观反映其公允价值的，在综合考虑市场成交价、市场报价、流动性、收益率曲线等多种因素基础上，按最能反映资产公允价值的方法估值。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olor w:val="000000" w:themeColor="text1"/>
          <w:sz w:val="24"/>
          <w:szCs w:val="24"/>
        </w:rPr>
        <w:t>8</w:t>
      </w:r>
      <w:r w:rsidRPr="00537BBB">
        <w:rPr>
          <w:rFonts w:ascii="宋体" w:hAnsi="宋体" w:hint="eastAsia"/>
          <w:color w:val="000000" w:themeColor="text1"/>
          <w:sz w:val="24"/>
          <w:szCs w:val="24"/>
        </w:rPr>
        <w:t>、国家有最新规定的，按其最新规定进行估值。</w:t>
      </w:r>
    </w:p>
    <w:p w:rsidR="00B37D2D" w:rsidRPr="00537BBB" w:rsidRDefault="00B37D2D" w:rsidP="00B37D2D">
      <w:pPr>
        <w:pStyle w:val="a7"/>
        <w:spacing w:after="0" w:line="300" w:lineRule="exact"/>
        <w:ind w:firstLineChars="200" w:firstLine="420"/>
        <w:rPr>
          <w:rFonts w:ascii="宋体" w:hAnsi="宋体"/>
          <w:color w:val="000000" w:themeColor="text1"/>
          <w:szCs w:val="21"/>
        </w:rPr>
      </w:pPr>
    </w:p>
    <w:p w:rsidR="00B37D2D" w:rsidRPr="00537BBB" w:rsidRDefault="00B37D2D" w:rsidP="00B37D2D">
      <w:pPr>
        <w:spacing w:before="240" w:line="300" w:lineRule="exact"/>
        <w:ind w:firstLineChars="200" w:firstLine="482"/>
        <w:rPr>
          <w:rFonts w:ascii="宋体" w:hAnsi="宋体"/>
          <w:color w:val="000000" w:themeColor="text1"/>
          <w:sz w:val="24"/>
          <w:szCs w:val="24"/>
        </w:rPr>
      </w:pPr>
      <w:r w:rsidRPr="00537BBB">
        <w:rPr>
          <w:rFonts w:ascii="宋体" w:hAnsi="宋体" w:hint="eastAsia"/>
          <w:b/>
          <w:bCs/>
          <w:color w:val="000000" w:themeColor="text1"/>
          <w:sz w:val="24"/>
          <w:szCs w:val="24"/>
        </w:rPr>
        <w:t>九、提前终止</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hint="eastAsia"/>
          <w:bCs/>
          <w:color w:val="000000" w:themeColor="text1"/>
          <w:sz w:val="24"/>
          <w:szCs w:val="24"/>
        </w:rPr>
        <w:t>在理财产品投资运作期间内，</w:t>
      </w:r>
      <w:r w:rsidRPr="00537BBB">
        <w:rPr>
          <w:rFonts w:ascii="宋体" w:hAnsi="宋体" w:hint="eastAsia"/>
          <w:b/>
          <w:bCs/>
          <w:color w:val="000000" w:themeColor="text1"/>
          <w:sz w:val="24"/>
          <w:szCs w:val="24"/>
        </w:rPr>
        <w:t>客户无权要求提前终止该理财产品</w:t>
      </w:r>
      <w:r w:rsidRPr="00537BBB">
        <w:rPr>
          <w:rFonts w:ascii="宋体" w:hAnsi="宋体" w:hint="eastAsia"/>
          <w:bCs/>
          <w:color w:val="000000" w:themeColor="text1"/>
          <w:sz w:val="24"/>
          <w:szCs w:val="24"/>
        </w:rPr>
        <w:t>。当出现下列情形之一时，银行有权部分或全部终止本产品：</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bCs/>
          <w:color w:val="000000" w:themeColor="text1"/>
          <w:sz w:val="24"/>
          <w:szCs w:val="24"/>
        </w:rPr>
        <w:t>1、</w:t>
      </w:r>
      <w:r w:rsidRPr="00537BBB">
        <w:rPr>
          <w:rFonts w:ascii="宋体" w:hAnsi="宋体" w:hint="eastAsia"/>
          <w:bCs/>
          <w:color w:val="000000" w:themeColor="text1"/>
          <w:sz w:val="24"/>
          <w:szCs w:val="24"/>
        </w:rPr>
        <w:t>因不可抗力原因导致理财产品无法继续运作。</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bCs/>
          <w:color w:val="000000" w:themeColor="text1"/>
          <w:sz w:val="24"/>
          <w:szCs w:val="24"/>
        </w:rPr>
        <w:t>2、</w:t>
      </w:r>
      <w:r w:rsidRPr="00537BBB">
        <w:rPr>
          <w:rFonts w:ascii="宋体" w:hAnsi="宋体" w:hint="eastAsia"/>
          <w:bCs/>
          <w:color w:val="000000" w:themeColor="text1"/>
          <w:sz w:val="24"/>
          <w:szCs w:val="24"/>
        </w:rPr>
        <w:t>遇有市场出现剧烈波动、异常风险事件等情形导致理财产品收益出现大幅波动或严重影响理财产品的资产安全。</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bCs/>
          <w:color w:val="000000" w:themeColor="text1"/>
          <w:sz w:val="24"/>
          <w:szCs w:val="24"/>
        </w:rPr>
        <w:t>3、</w:t>
      </w:r>
      <w:r w:rsidRPr="00537BBB">
        <w:rPr>
          <w:rFonts w:ascii="宋体" w:hAnsi="宋体" w:hint="eastAsia"/>
          <w:bCs/>
          <w:color w:val="000000" w:themeColor="text1"/>
          <w:sz w:val="24"/>
          <w:szCs w:val="24"/>
        </w:rPr>
        <w:t>因客户理财资金被有权机关扣划等原因导致理财产品剩余资产无法满足相关法律法规规定、所投资市场要求或协议等相关法律文件约定，或者继续存续无法实现投资目标。</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bCs/>
          <w:color w:val="000000" w:themeColor="text1"/>
          <w:sz w:val="24"/>
          <w:szCs w:val="24"/>
        </w:rPr>
        <w:t>4、</w:t>
      </w:r>
      <w:r w:rsidRPr="00537BBB">
        <w:rPr>
          <w:rFonts w:ascii="宋体" w:hAnsi="宋体" w:hint="eastAsia"/>
          <w:bCs/>
          <w:color w:val="000000" w:themeColor="text1"/>
          <w:sz w:val="24"/>
          <w:szCs w:val="24"/>
        </w:rPr>
        <w:t>因相关投资管理机构解散、破产、撤销、被取消业务资格等原因无法继</w:t>
      </w:r>
      <w:r w:rsidRPr="00537BBB">
        <w:rPr>
          <w:rFonts w:ascii="宋体" w:hAnsi="宋体" w:hint="eastAsia"/>
          <w:bCs/>
          <w:color w:val="000000" w:themeColor="text1"/>
          <w:sz w:val="24"/>
          <w:szCs w:val="24"/>
        </w:rPr>
        <w:lastRenderedPageBreak/>
        <w:t>续履行相应职责导致产品无法继续运作。</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bCs/>
          <w:color w:val="000000" w:themeColor="text1"/>
          <w:sz w:val="24"/>
          <w:szCs w:val="24"/>
        </w:rPr>
        <w:t>5、</w:t>
      </w:r>
      <w:r w:rsidRPr="00537BBB">
        <w:rPr>
          <w:rFonts w:ascii="宋体" w:hAnsi="宋体" w:hint="eastAsia"/>
          <w:bCs/>
          <w:color w:val="000000" w:themeColor="text1"/>
          <w:sz w:val="24"/>
          <w:szCs w:val="24"/>
        </w:rPr>
        <w:t>相关投资管理机构或运用理财资金的第三方主体实施符合法律法规规定或协议等相关文件约定的行为导致理财产品被动提前终止。</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bCs/>
          <w:color w:val="000000" w:themeColor="text1"/>
          <w:sz w:val="24"/>
          <w:szCs w:val="24"/>
        </w:rPr>
        <w:t>6、</w:t>
      </w:r>
      <w:r w:rsidRPr="00537BBB">
        <w:rPr>
          <w:rFonts w:ascii="宋体" w:hAnsi="宋体" w:hint="eastAsia"/>
          <w:bCs/>
          <w:color w:val="000000" w:themeColor="text1"/>
          <w:sz w:val="24"/>
          <w:szCs w:val="24"/>
        </w:rPr>
        <w:t>因法律法规变化或国家金融政策调整、紧急措施出台影响产品继续正常运作。</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bCs/>
          <w:color w:val="000000" w:themeColor="text1"/>
          <w:sz w:val="24"/>
          <w:szCs w:val="24"/>
        </w:rPr>
        <w:t>7、</w:t>
      </w:r>
      <w:r w:rsidRPr="00537BBB">
        <w:rPr>
          <w:rFonts w:ascii="宋体" w:hAnsi="宋体" w:hint="eastAsia"/>
          <w:bCs/>
          <w:color w:val="000000" w:themeColor="text1"/>
          <w:sz w:val="24"/>
          <w:szCs w:val="24"/>
        </w:rPr>
        <w:t>法律法规规定或监管部门认定的其他情形。</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hint="eastAsia"/>
          <w:bCs/>
          <w:color w:val="000000" w:themeColor="text1"/>
          <w:sz w:val="24"/>
          <w:szCs w:val="24"/>
        </w:rPr>
        <w:t>如果广州农商银行提前终止本产品，广州农商银行将提前2个工作日通过广州农商银行各营业网点或银行网站公布提前终止日并指定资金到账日（一般为提前终止日之后的三个工作日以内）。广州农商银行应将客户理财资金于指定的资金到账日（遇银行节假日顺延）内划转至客户指定账户。提前终止日（含当日）至资金实际到账日之间，客户资金不计息。</w:t>
      </w:r>
    </w:p>
    <w:p w:rsidR="00B37D2D" w:rsidRPr="00537BBB" w:rsidRDefault="00B37D2D" w:rsidP="00B37D2D">
      <w:pPr>
        <w:spacing w:before="240"/>
        <w:ind w:firstLineChars="196" w:firstLine="472"/>
        <w:rPr>
          <w:rFonts w:ascii="宋体" w:hAnsi="宋体"/>
          <w:b/>
          <w:bCs/>
          <w:color w:val="000000" w:themeColor="text1"/>
          <w:sz w:val="24"/>
          <w:szCs w:val="24"/>
        </w:rPr>
      </w:pPr>
      <w:r w:rsidRPr="00537BBB">
        <w:rPr>
          <w:rFonts w:ascii="宋体" w:hAnsi="宋体" w:hint="eastAsia"/>
          <w:b/>
          <w:bCs/>
          <w:color w:val="000000" w:themeColor="text1"/>
          <w:sz w:val="24"/>
          <w:szCs w:val="24"/>
        </w:rPr>
        <w:t>十、信息披露</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（一）理财产品运作信息披露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1、本理财产品成立后，理财产品管理人在每个开放日（T日）结束后的2个工作日内，通过广州农商银行网站（www.grcbank.com），披露T日的理财产品份额净值、份额累计净值。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2、理财产品管理人应当定期向投资人披露投资状况、投资表现、风险状况等信息，并通过广州农商银行网站（www.grcbank.com）进行公告。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3、如理财产品管理人决定本理财计划不成立，将在决定理财计划不成立后的1个工作日，在广州农商银行网站（www.grcbank.com）、各指定营业网点发布相关信息公告。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4、如理财产品管理人决定提前终止本理财产品，将于提前终止日的前2个工作日，在广州农商银行网站（www.grcbank.com）、各指定营业网点发布相关信息公告。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5、理财产品管理人将在本说明书约定的理财计划到期日后2个工作日内，在广州农商银行网站（www.grcbank.com）发布相关信息公告。</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（二）理财产品临时信息披露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本理财产品在运作管理过程中，发生以下可能对理财产品份额持有人权益及理财产品份额的交易价格产生重大影响的事项之一时，理财产品管理人或理财产品托管人将按照法律、法规及中国银监会的有关规定及时披露并在广州农商银行网站（www.grcbank.com）上公告。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（1）终止理财产品；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（2）转换理财产品运作方式；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（3）更换理财产品托管人；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（4）理财产品认购期延长；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（5）涉及理财产品管理业务、理财产品财产、理财产品托管业务的重大诉讼；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（6）理财产品收益分配事项；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（7）固定管理费、销售费及托管费等费用计提标准、计提方式和费率发生变更；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（8）理财产品单位净值计价错误达理财计划单位净值百分之零点五；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（9）理财产品暂停估值；</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（10）理财产品延期兑付；</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lastRenderedPageBreak/>
        <w:t xml:space="preserve">（11）理财产品同类产品参考业绩比较基准调整；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（12）当发生巨额赎回并延期办理时，理财产品管理人应在3个工作日内通过指定途径刊登公告，并说明有关处理方法；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（13）其它应披露的事项。    </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（三）在本产品存续期间，广州农商银行可提前通过本银行门户网站（www.grcbank.com）、各指定营业网点发布相关信息，对投资范围、投资品种、投资比例或产品说明书其他条款进行补充、说明和修改。</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hint="eastAsia"/>
          <w:color w:val="000000" w:themeColor="text1"/>
          <w:sz w:val="24"/>
          <w:szCs w:val="24"/>
        </w:rPr>
        <w:t xml:space="preserve">客户如不同意补充或修改后的说明书，可根据广州农商银行的通知或公告在预设开放日或者新增开放日赎回投资本金和收益（如有）。  </w:t>
      </w:r>
    </w:p>
    <w:p w:rsidR="00B37D2D" w:rsidRPr="00537BBB" w:rsidRDefault="00B37D2D" w:rsidP="00B53F60">
      <w:pPr>
        <w:ind w:firstLineChars="200" w:firstLine="482"/>
        <w:rPr>
          <w:rFonts w:ascii="宋体" w:hAnsi="宋体"/>
          <w:b/>
          <w:color w:val="000000" w:themeColor="text1"/>
          <w:sz w:val="24"/>
          <w:szCs w:val="24"/>
        </w:rPr>
      </w:pPr>
      <w:r w:rsidRPr="00537BBB">
        <w:rPr>
          <w:rFonts w:ascii="宋体" w:hAnsi="宋体" w:hint="eastAsia"/>
          <w:b/>
          <w:color w:val="000000" w:themeColor="text1"/>
          <w:sz w:val="24"/>
          <w:szCs w:val="24"/>
        </w:rPr>
        <w:t>（四）广州农商银行通过上述网站进行信息披露，如果投资者未及时查询，或由于通讯故障、系统故障以及其他不可抗力等因素的影响使得投资者无法及时了解产品信息，因此而产生的（包括但不限于因未及时获知信息而错过资金使用和再投资的机会等）全部责任和风险，由投资者自行承担。</w:t>
      </w:r>
    </w:p>
    <w:p w:rsidR="00B37D2D" w:rsidRPr="00537BBB" w:rsidRDefault="00B37D2D" w:rsidP="00B37D2D">
      <w:pPr>
        <w:ind w:firstLineChars="200" w:firstLine="482"/>
        <w:rPr>
          <w:rFonts w:ascii="宋体" w:hAnsi="宋体"/>
          <w:b/>
          <w:color w:val="000000" w:themeColor="text1"/>
          <w:sz w:val="24"/>
          <w:szCs w:val="24"/>
        </w:rPr>
      </w:pPr>
      <w:r w:rsidRPr="00537BBB">
        <w:rPr>
          <w:rFonts w:ascii="宋体" w:hAnsi="宋体" w:hint="eastAsia"/>
          <w:b/>
          <w:color w:val="000000" w:themeColor="text1"/>
          <w:sz w:val="24"/>
          <w:szCs w:val="24"/>
        </w:rPr>
        <w:t>（五）根据本产品在理财登记系统取得的产品登记编码，投资者可在“中国理财网（www.chinawealth.com.cn）”上查询产品信息。</w:t>
      </w:r>
    </w:p>
    <w:p w:rsidR="00B37D2D" w:rsidRPr="00537BBB" w:rsidRDefault="00B37D2D" w:rsidP="00B37D2D">
      <w:pPr>
        <w:spacing w:before="240"/>
        <w:ind w:firstLineChars="196" w:firstLine="472"/>
        <w:rPr>
          <w:rFonts w:ascii="宋体" w:hAnsi="宋体"/>
          <w:b/>
          <w:bCs/>
          <w:color w:val="000000" w:themeColor="text1"/>
          <w:sz w:val="24"/>
          <w:szCs w:val="24"/>
        </w:rPr>
      </w:pPr>
      <w:r w:rsidRPr="00537BBB">
        <w:rPr>
          <w:rFonts w:ascii="宋体" w:hAnsi="宋体" w:hint="eastAsia"/>
          <w:b/>
          <w:bCs/>
          <w:color w:val="000000" w:themeColor="text1"/>
          <w:sz w:val="24"/>
          <w:szCs w:val="24"/>
        </w:rPr>
        <w:t>十一、特别说明</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hint="eastAsia"/>
          <w:bCs/>
          <w:color w:val="000000" w:themeColor="text1"/>
          <w:sz w:val="24"/>
          <w:szCs w:val="24"/>
        </w:rPr>
        <w:t>（一）投资者保证资金来源合法,系其合法拥有，其投资本产品已得到相关的授权，且不违反任何法律、法规、监管规定及公司章程的规定。</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hint="eastAsia"/>
          <w:bCs/>
          <w:color w:val="000000" w:themeColor="text1"/>
          <w:sz w:val="24"/>
          <w:szCs w:val="24"/>
        </w:rPr>
        <w:t>（二）投资者签约后，广州农商银行有权于约定日期从约定的账户扣收投资者的投资本金。投资者同意广州农商银行将本产品的认购资金用于本产品说明书所述基础资产。</w:t>
      </w:r>
    </w:p>
    <w:p w:rsidR="00B37D2D" w:rsidRPr="00537BBB" w:rsidRDefault="00B37D2D" w:rsidP="00B37D2D">
      <w:pPr>
        <w:ind w:firstLineChars="195" w:firstLine="470"/>
        <w:rPr>
          <w:rFonts w:ascii="宋体" w:hAnsi="宋体"/>
          <w:b/>
          <w:bCs/>
          <w:color w:val="000000" w:themeColor="text1"/>
          <w:sz w:val="24"/>
          <w:szCs w:val="24"/>
          <w:u w:val="single"/>
        </w:rPr>
      </w:pPr>
      <w:r w:rsidRPr="00537BBB">
        <w:rPr>
          <w:rFonts w:ascii="宋体" w:hAnsi="宋体" w:hint="eastAsia"/>
          <w:b/>
          <w:bCs/>
          <w:color w:val="000000" w:themeColor="text1"/>
          <w:sz w:val="24"/>
          <w:szCs w:val="24"/>
          <w:u w:val="single"/>
        </w:rPr>
        <w:t>（三）如因投资者的原因,导致广州农商银行在本业务中对其他第三方承担赔偿责任的,投资者愿意承担相应的赔偿责任。</w:t>
      </w:r>
    </w:p>
    <w:p w:rsidR="00B37D2D" w:rsidRPr="00537BBB" w:rsidRDefault="00B37D2D" w:rsidP="00B37D2D">
      <w:pPr>
        <w:ind w:firstLineChars="200" w:firstLine="480"/>
        <w:rPr>
          <w:rFonts w:ascii="宋体" w:hAnsi="宋体"/>
          <w:bCs/>
          <w:color w:val="000000" w:themeColor="text1"/>
          <w:sz w:val="24"/>
          <w:szCs w:val="24"/>
        </w:rPr>
      </w:pPr>
      <w:r w:rsidRPr="00537BBB">
        <w:rPr>
          <w:rFonts w:ascii="宋体" w:hAnsi="宋体" w:hint="eastAsia"/>
          <w:bCs/>
          <w:color w:val="000000" w:themeColor="text1"/>
          <w:sz w:val="24"/>
          <w:szCs w:val="24"/>
        </w:rPr>
        <w:t>（四）当市场发生极端重大变动或突发性事件时，为保护投资人利益，广州农商银行有权对基础资产进行处置，并及时披露。</w:t>
      </w:r>
    </w:p>
    <w:p w:rsidR="00B37D2D" w:rsidRPr="00537BBB" w:rsidRDefault="00B37D2D" w:rsidP="00B37D2D">
      <w:pPr>
        <w:spacing w:after="120"/>
        <w:ind w:firstLineChars="195" w:firstLine="470"/>
        <w:rPr>
          <w:rFonts w:ascii="宋体" w:hAnsi="宋体"/>
          <w:b/>
          <w:bCs/>
          <w:color w:val="000000" w:themeColor="text1"/>
          <w:sz w:val="24"/>
          <w:szCs w:val="24"/>
          <w:u w:val="single"/>
        </w:rPr>
      </w:pPr>
      <w:r w:rsidRPr="00537BBB">
        <w:rPr>
          <w:rFonts w:ascii="宋体" w:hAnsi="宋体" w:hint="eastAsia"/>
          <w:b/>
          <w:bCs/>
          <w:color w:val="000000" w:themeColor="text1"/>
          <w:sz w:val="24"/>
          <w:szCs w:val="24"/>
          <w:u w:val="single"/>
        </w:rPr>
        <w:t>（五）本产品认购方式采取金额认购的方式。销售网点受理申请并不表示对该申请是否成功的确认，而仅代表销售网点确实收到了认购申请，申请是否有效应以产品管理人实际扣划资金成功为准。投资者应在签约日的下一产品工作日自行查询最终成交确认情况。因投资者未做查询确认而引起的任何资金损失均由投资者自行承担。</w:t>
      </w:r>
    </w:p>
    <w:p w:rsidR="00B37D2D" w:rsidRPr="00537BBB" w:rsidRDefault="00B37D2D" w:rsidP="00B37D2D">
      <w:pPr>
        <w:spacing w:before="240"/>
        <w:ind w:firstLineChars="199" w:firstLine="479"/>
        <w:rPr>
          <w:rFonts w:ascii="宋体" w:hAnsi="宋体"/>
          <w:b/>
          <w:bCs/>
          <w:color w:val="000000" w:themeColor="text1"/>
          <w:sz w:val="24"/>
          <w:szCs w:val="24"/>
        </w:rPr>
      </w:pPr>
      <w:r w:rsidRPr="00537BBB">
        <w:rPr>
          <w:rFonts w:ascii="宋体" w:hAnsi="宋体" w:hint="eastAsia"/>
          <w:b/>
          <w:bCs/>
          <w:color w:val="000000" w:themeColor="text1"/>
          <w:sz w:val="24"/>
          <w:szCs w:val="24"/>
        </w:rPr>
        <w:t>十二、保密条款</w:t>
      </w:r>
    </w:p>
    <w:p w:rsidR="00B37D2D" w:rsidRPr="00537BBB" w:rsidRDefault="00B37D2D" w:rsidP="00B37D2D">
      <w:pPr>
        <w:ind w:firstLineChars="200" w:firstLine="480"/>
        <w:rPr>
          <w:rFonts w:ascii="宋体" w:hAnsi="宋体"/>
          <w:color w:val="000000" w:themeColor="text1"/>
          <w:sz w:val="24"/>
          <w:szCs w:val="24"/>
        </w:rPr>
      </w:pPr>
      <w:r w:rsidRPr="00537BBB">
        <w:rPr>
          <w:rFonts w:ascii="宋体" w:hAnsi="宋体"/>
          <w:color w:val="000000" w:themeColor="text1"/>
          <w:sz w:val="24"/>
          <w:szCs w:val="24"/>
        </w:rPr>
        <w:t>对于本理财产品相关信息，广州农村商业银行与投资者都负有保密义务，未经对方书面同意，不得作其他用途。</w:t>
      </w:r>
    </w:p>
    <w:p w:rsidR="00B37D2D" w:rsidRPr="00537BBB" w:rsidRDefault="00B37D2D" w:rsidP="00B37D2D">
      <w:pPr>
        <w:ind w:firstLineChars="200" w:firstLine="480"/>
        <w:rPr>
          <w:rFonts w:ascii="宋体" w:hAnsi="宋体"/>
          <w:color w:val="000000" w:themeColor="text1"/>
          <w:sz w:val="24"/>
          <w:szCs w:val="24"/>
        </w:rPr>
      </w:pPr>
    </w:p>
    <w:p w:rsidR="00B37D2D" w:rsidRPr="00537BBB" w:rsidRDefault="00B37D2D" w:rsidP="00B37D2D">
      <w:pPr>
        <w:ind w:firstLineChars="200" w:firstLine="480"/>
        <w:rPr>
          <w:rFonts w:ascii="宋体" w:hAnsi="宋体"/>
          <w:color w:val="000000" w:themeColor="text1"/>
          <w:sz w:val="24"/>
          <w:szCs w:val="24"/>
        </w:rPr>
      </w:pPr>
    </w:p>
    <w:p w:rsidR="00B37D2D" w:rsidRPr="00537BBB" w:rsidRDefault="00B37D2D" w:rsidP="00B37D2D">
      <w:pPr>
        <w:ind w:firstLineChars="200" w:firstLine="482"/>
        <w:jc w:val="right"/>
        <w:rPr>
          <w:rFonts w:ascii="宋体" w:hAnsi="宋体"/>
          <w:b/>
          <w:bCs/>
          <w:color w:val="000000" w:themeColor="text1"/>
          <w:sz w:val="24"/>
          <w:szCs w:val="24"/>
        </w:rPr>
      </w:pPr>
      <w:r w:rsidRPr="00537BBB">
        <w:rPr>
          <w:rFonts w:ascii="宋体" w:hAnsi="宋体" w:hint="eastAsia"/>
          <w:b/>
          <w:bCs/>
          <w:color w:val="000000" w:themeColor="text1"/>
          <w:sz w:val="24"/>
          <w:szCs w:val="24"/>
        </w:rPr>
        <w:t>广州农村商业银行股份有限公司</w:t>
      </w:r>
    </w:p>
    <w:p w:rsidR="00B37D2D" w:rsidRPr="00537BBB" w:rsidRDefault="00B37D2D" w:rsidP="00B37D2D">
      <w:pPr>
        <w:spacing w:after="120"/>
        <w:ind w:firstLine="0"/>
        <w:jc w:val="center"/>
        <w:rPr>
          <w:rFonts w:ascii="黑体" w:eastAsia="黑体" w:hAnsi="宋体"/>
          <w:bCs/>
          <w:color w:val="000000" w:themeColor="text1"/>
          <w:sz w:val="28"/>
          <w:szCs w:val="28"/>
        </w:rPr>
      </w:pPr>
      <w:r w:rsidRPr="00537BBB">
        <w:rPr>
          <w:rFonts w:ascii="宋体" w:hAnsi="宋体"/>
          <w:bCs/>
          <w:color w:val="000000" w:themeColor="text1"/>
          <w:sz w:val="24"/>
          <w:szCs w:val="24"/>
        </w:rPr>
        <w:br w:type="page"/>
      </w:r>
      <w:r w:rsidRPr="00537BBB">
        <w:rPr>
          <w:rFonts w:ascii="黑体" w:eastAsia="黑体" w:hAnsi="宋体" w:hint="eastAsia"/>
          <w:bCs/>
          <w:color w:val="000000" w:themeColor="text1"/>
          <w:sz w:val="28"/>
          <w:szCs w:val="28"/>
        </w:rPr>
        <w:lastRenderedPageBreak/>
        <w:t>广州农村商业银行人民币理财产品</w:t>
      </w:r>
    </w:p>
    <w:p w:rsidR="00B37D2D" w:rsidRPr="00537BBB" w:rsidRDefault="00B37D2D" w:rsidP="00B37D2D">
      <w:pPr>
        <w:spacing w:after="120" w:line="276" w:lineRule="auto"/>
        <w:ind w:firstLineChars="150" w:firstLine="420"/>
        <w:jc w:val="center"/>
        <w:rPr>
          <w:rFonts w:ascii="黑体" w:eastAsia="黑体" w:hAnsi="宋体"/>
          <w:bCs/>
          <w:color w:val="000000" w:themeColor="text1"/>
          <w:sz w:val="28"/>
          <w:szCs w:val="28"/>
        </w:rPr>
      </w:pPr>
      <w:r w:rsidRPr="00537BBB">
        <w:rPr>
          <w:rFonts w:ascii="黑体" w:eastAsia="黑体" w:hAnsi="宋体" w:hint="eastAsia"/>
          <w:bCs/>
          <w:color w:val="000000" w:themeColor="text1"/>
          <w:sz w:val="28"/>
          <w:szCs w:val="28"/>
        </w:rPr>
        <w:t>客户权益须知</w:t>
      </w:r>
    </w:p>
    <w:p w:rsidR="00B37D2D" w:rsidRPr="00537BBB" w:rsidRDefault="00B37D2D" w:rsidP="00B37D2D">
      <w:pPr>
        <w:pStyle w:val="a8"/>
        <w:spacing w:line="276" w:lineRule="auto"/>
        <w:rPr>
          <w:rFonts w:ascii="宋体" w:eastAsia="宋体" w:hAnsi="宋体"/>
          <w:bCs w:val="0"/>
          <w:color w:val="000000" w:themeColor="text1"/>
          <w:sz w:val="24"/>
          <w:szCs w:val="24"/>
        </w:rPr>
      </w:pPr>
      <w:r w:rsidRPr="00537BBB">
        <w:rPr>
          <w:rFonts w:ascii="宋体" w:hAnsi="宋体" w:hint="eastAsia"/>
          <w:b/>
          <w:bCs w:val="0"/>
          <w:color w:val="000000" w:themeColor="text1"/>
          <w:sz w:val="24"/>
          <w:szCs w:val="24"/>
        </w:rPr>
        <w:t>尊敬的客户：</w:t>
      </w:r>
    </w:p>
    <w:p w:rsidR="00B37D2D" w:rsidRPr="00537BBB" w:rsidRDefault="00B37D2D" w:rsidP="00B37D2D">
      <w:pPr>
        <w:pStyle w:val="a8"/>
        <w:spacing w:line="276" w:lineRule="auto"/>
        <w:ind w:firstLineChars="200" w:firstLine="482"/>
        <w:rPr>
          <w:rFonts w:ascii="宋体" w:hAnsi="宋体"/>
          <w:b/>
          <w:bCs w:val="0"/>
          <w:color w:val="000000" w:themeColor="text1"/>
          <w:sz w:val="24"/>
          <w:szCs w:val="24"/>
        </w:rPr>
      </w:pPr>
      <w:r w:rsidRPr="00537BBB">
        <w:rPr>
          <w:rFonts w:ascii="宋体" w:hAnsi="宋体" w:hint="eastAsia"/>
          <w:b/>
          <w:bCs w:val="0"/>
          <w:color w:val="000000" w:themeColor="text1"/>
          <w:sz w:val="24"/>
          <w:szCs w:val="24"/>
        </w:rPr>
        <w:t>理财非存款、产品有风险、投资须谨慎。为了保护您的合法权益，请在投资前认真阅读以下内容：</w:t>
      </w:r>
    </w:p>
    <w:p w:rsidR="00B37D2D" w:rsidRPr="00537BBB" w:rsidRDefault="00B37D2D" w:rsidP="00B37D2D">
      <w:pPr>
        <w:pStyle w:val="a8"/>
        <w:spacing w:line="276" w:lineRule="auto"/>
        <w:outlineLvl w:val="0"/>
        <w:rPr>
          <w:rFonts w:hAnsi="宋体"/>
          <w:b/>
          <w:bCs w:val="0"/>
          <w:color w:val="000000" w:themeColor="text1"/>
          <w:sz w:val="28"/>
          <w:szCs w:val="28"/>
        </w:rPr>
      </w:pPr>
      <w:r w:rsidRPr="00537BBB">
        <w:rPr>
          <w:rFonts w:hAnsi="宋体" w:hint="eastAsia"/>
          <w:b/>
          <w:bCs w:val="0"/>
          <w:color w:val="000000" w:themeColor="text1"/>
          <w:sz w:val="28"/>
          <w:szCs w:val="28"/>
        </w:rPr>
        <w:t>一、客户购买产品流程</w:t>
      </w:r>
    </w:p>
    <w:p w:rsidR="00B37D2D" w:rsidRPr="00537BBB" w:rsidRDefault="00B37D2D" w:rsidP="00B37D2D">
      <w:pPr>
        <w:spacing w:line="276" w:lineRule="auto"/>
        <w:ind w:firstLineChars="150" w:firstLine="360"/>
        <w:rPr>
          <w:rFonts w:ascii="宋体" w:hAnsi="宋体"/>
          <w:color w:val="000000" w:themeColor="text1"/>
          <w:sz w:val="24"/>
          <w:szCs w:val="24"/>
        </w:rPr>
      </w:pPr>
      <w:r w:rsidRPr="00537BBB">
        <w:rPr>
          <w:rFonts w:ascii="宋体" w:hAnsi="宋体" w:hint="eastAsia"/>
          <w:color w:val="000000" w:themeColor="text1"/>
          <w:sz w:val="24"/>
        </w:rPr>
        <w:t>（一）提供资料清单</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1、本人有效身份证件</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2、本人在广州农村商业银行网点开立的结算账户</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（二）进行风险承受能力评估</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1、客户在购买本理财产品之前，应进行风险承受能力评估，填写《个人客户风险承受能力评估书》，未进行风险承受能力评估的客户不得购买本理财产品。</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 xml:space="preserve">2、首次购买理财产品的所有客户需要进行风险承受能力评估；超过一年未进行风险承受能力评估或发生可能影响自身风险承受能力情况的客户，再次购买理财产品时，应重新进行风险承受能力评估，并签名确认评估结果。 </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（三）填写产品风险揭示书</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进行产品适合度评估后，客户需要认真阅读《产品风险揭示书》，亲自抄写“客户声明语句”并签名确认。</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（四）填写《理财产品认购/撤销申请表》</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客户认真阅读产品说明书、《理财产品认购/撤销申请表》（以下简称“《申请表》”）及背面的《投资人须知》，完整填写相关资料，并签名确认。</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（五）理财产品销售系统操作</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产品募集期内，客户可在广州农村商业银行任一网点签约投资本理财产品，设置理财签约账户。客户办理理财产品认购时，账户内须备有足额认购款。操作完成后，客户须对银行打印的《申请表》进行签名确认，其中一联由客户留存。理财签约账户内的认购资金从签约当日开始冻结，从投资期起始日开始参与本理财产品的投资运作。</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（六）理财产品到期</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理财产品投资期到期日后5个工作日（T+5）内，本金及收益全部兑付至客户签约账户。</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如本理财产品遇广州农村商业银行提前终止，则客户投资本金及收益在提前终止日后的3个工作日内兑付。</w:t>
      </w:r>
    </w:p>
    <w:p w:rsidR="00B37D2D" w:rsidRPr="00537BBB" w:rsidRDefault="00B37D2D" w:rsidP="00B37D2D">
      <w:pPr>
        <w:pStyle w:val="a8"/>
        <w:spacing w:line="276" w:lineRule="auto"/>
        <w:outlineLvl w:val="0"/>
        <w:rPr>
          <w:rFonts w:hAnsi="宋体"/>
          <w:color w:val="000000" w:themeColor="text1"/>
          <w:sz w:val="28"/>
          <w:szCs w:val="28"/>
        </w:rPr>
      </w:pPr>
      <w:r w:rsidRPr="00537BBB">
        <w:rPr>
          <w:rFonts w:hAnsi="宋体" w:hint="eastAsia"/>
          <w:b/>
          <w:bCs w:val="0"/>
          <w:color w:val="000000" w:themeColor="text1"/>
          <w:sz w:val="28"/>
          <w:szCs w:val="28"/>
        </w:rPr>
        <w:t>二、风险承受能力评估流程及产品风险评级</w:t>
      </w:r>
    </w:p>
    <w:p w:rsidR="00B37D2D" w:rsidRPr="00537BBB" w:rsidRDefault="00B37D2D" w:rsidP="00B37D2D">
      <w:pPr>
        <w:spacing w:line="276" w:lineRule="auto"/>
        <w:ind w:firstLineChars="150" w:firstLine="360"/>
        <w:outlineLvl w:val="0"/>
        <w:rPr>
          <w:rFonts w:ascii="宋体" w:hAnsi="宋体"/>
          <w:color w:val="000000" w:themeColor="text1"/>
          <w:sz w:val="24"/>
          <w:szCs w:val="24"/>
        </w:rPr>
      </w:pPr>
      <w:r w:rsidRPr="00537BBB">
        <w:rPr>
          <w:rFonts w:ascii="宋体" w:hAnsi="宋体" w:hint="eastAsia"/>
          <w:color w:val="000000" w:themeColor="text1"/>
          <w:sz w:val="24"/>
        </w:rPr>
        <w:t>（一）风险能力评估</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客户需要填写《个人客户风险承受能力评估书》，根据风险评估测试结果，客</w:t>
      </w:r>
      <w:r w:rsidRPr="00537BBB">
        <w:rPr>
          <w:rFonts w:ascii="宋体" w:hAnsi="宋体" w:hint="eastAsia"/>
          <w:color w:val="000000" w:themeColor="text1"/>
          <w:sz w:val="24"/>
        </w:rPr>
        <w:lastRenderedPageBreak/>
        <w:t>户只能购买风险评级等于或低于其风险承受能力评级的理财产品。具体评定结果及评估流程如下：</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1、客户购买理财产品前，应由我行理财销售人员确认客户是否已在我行进行风险承受能力评估并签署客户风险测试评估问卷。</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尚未在我行进行风险承受能力评估的客户，在我行网点由我行理财销售人员向客户介绍我行风险承受能力评估的基本知识和流程，清晰准确地向客户解释评估问卷问题的含义，指导客户独立完成评估问卷。由理财销售人员按照问卷评分结果计算客户所属类型，告知客户，并由客户在评估问卷上签名确认评估结果。</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2、已在我行进行风险承受能力评估但评估日期距当前超过一年的客户，客户应重新进行风险承受能力评估。</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3、客户如再次购买我行理财产品，可在网点、网上银行等自助渠道进行风险承受能力评估。</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4、客户通过网上银行等自助渠道购买理财产品时，系统判断客户已在我行签署风险承受能力评估问卷且评估日期距当前不超过12个月，方可购买理财产品。否则客户应重新进行风险承受能力评估。</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5、客户未在我行进行过风险承受能力评估而准备购买我行自主研发理财产品的，必须进行风险承受能力评估，未进行风险评估的客户不得购买本理财产品。</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6、超过65岁（含）的客户购买理财产品，应当充分考虑年龄、相关投资经验、风险承受能力等因素。</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具体评定结果及理财产品销售客户匹配表如下：</w:t>
      </w:r>
    </w:p>
    <w:tbl>
      <w:tblPr>
        <w:tblW w:w="5000" w:type="pct"/>
        <w:jc w:val="center"/>
        <w:tblLook w:val="04A0"/>
      </w:tblPr>
      <w:tblGrid>
        <w:gridCol w:w="1471"/>
        <w:gridCol w:w="1341"/>
        <w:gridCol w:w="3003"/>
        <w:gridCol w:w="2707"/>
      </w:tblGrid>
      <w:tr w:rsidR="00B37D2D" w:rsidRPr="00537BBB" w:rsidTr="00AC3BF7">
        <w:trPr>
          <w:trHeight w:val="297"/>
          <w:jc w:val="center"/>
        </w:trPr>
        <w:tc>
          <w:tcPr>
            <w:tcW w:w="863" w:type="pct"/>
            <w:tcBorders>
              <w:top w:val="single" w:sz="4" w:space="0" w:color="auto"/>
              <w:left w:val="single" w:sz="4" w:space="0" w:color="auto"/>
              <w:bottom w:val="single" w:sz="4" w:space="0" w:color="auto"/>
              <w:right w:val="single" w:sz="4" w:space="0" w:color="auto"/>
            </w:tcBorders>
            <w:shd w:val="clear" w:color="auto" w:fill="CC99FF"/>
            <w:vAlign w:val="center"/>
            <w:hideMark/>
          </w:tcPr>
          <w:p w:rsidR="00B37D2D" w:rsidRPr="00537BBB" w:rsidRDefault="00B37D2D" w:rsidP="00AC3BF7">
            <w:pPr>
              <w:widowControl/>
              <w:spacing w:line="276" w:lineRule="auto"/>
              <w:ind w:firstLine="0"/>
              <w:jc w:val="center"/>
              <w:rPr>
                <w:rFonts w:ascii="仿宋_GB2312" w:eastAsia="仿宋_GB2312" w:hAnsi="宋体" w:cs="宋体"/>
                <w:b/>
                <w:bCs/>
                <w:color w:val="000000" w:themeColor="text1"/>
                <w:kern w:val="0"/>
                <w:sz w:val="24"/>
                <w:szCs w:val="24"/>
              </w:rPr>
            </w:pPr>
            <w:r w:rsidRPr="00537BBB">
              <w:rPr>
                <w:rFonts w:ascii="仿宋_GB2312" w:eastAsia="仿宋_GB2312" w:hAnsi="宋体" w:cs="宋体" w:hint="eastAsia"/>
                <w:b/>
                <w:bCs/>
                <w:color w:val="000000" w:themeColor="text1"/>
                <w:kern w:val="0"/>
                <w:sz w:val="24"/>
                <w:szCs w:val="24"/>
              </w:rPr>
              <w:t>分值范围</w:t>
            </w:r>
          </w:p>
        </w:tc>
        <w:tc>
          <w:tcPr>
            <w:tcW w:w="787" w:type="pct"/>
            <w:tcBorders>
              <w:top w:val="single" w:sz="4" w:space="0" w:color="auto"/>
              <w:left w:val="nil"/>
              <w:bottom w:val="single" w:sz="4" w:space="0" w:color="auto"/>
              <w:right w:val="single" w:sz="4" w:space="0" w:color="auto"/>
            </w:tcBorders>
            <w:shd w:val="clear" w:color="auto" w:fill="CC99FF"/>
            <w:vAlign w:val="center"/>
            <w:hideMark/>
          </w:tcPr>
          <w:p w:rsidR="00B37D2D" w:rsidRPr="00537BBB" w:rsidRDefault="00B37D2D" w:rsidP="00AC3BF7">
            <w:pPr>
              <w:widowControl/>
              <w:spacing w:line="276" w:lineRule="auto"/>
              <w:ind w:firstLine="0"/>
              <w:jc w:val="center"/>
              <w:rPr>
                <w:rFonts w:ascii="仿宋_GB2312" w:eastAsia="仿宋_GB2312" w:hAnsi="宋体" w:cs="宋体"/>
                <w:b/>
                <w:bCs/>
                <w:color w:val="000000" w:themeColor="text1"/>
                <w:kern w:val="0"/>
                <w:sz w:val="24"/>
                <w:szCs w:val="24"/>
              </w:rPr>
            </w:pPr>
            <w:r w:rsidRPr="00537BBB">
              <w:rPr>
                <w:rFonts w:ascii="仿宋_GB2312" w:eastAsia="仿宋_GB2312" w:hAnsi="宋体" w:cs="宋体" w:hint="eastAsia"/>
                <w:b/>
                <w:bCs/>
                <w:color w:val="000000" w:themeColor="text1"/>
                <w:kern w:val="0"/>
                <w:sz w:val="24"/>
                <w:szCs w:val="24"/>
              </w:rPr>
              <w:t>客户类型</w:t>
            </w:r>
          </w:p>
        </w:tc>
        <w:tc>
          <w:tcPr>
            <w:tcW w:w="1762" w:type="pct"/>
            <w:tcBorders>
              <w:top w:val="single" w:sz="4" w:space="0" w:color="auto"/>
              <w:left w:val="nil"/>
              <w:bottom w:val="single" w:sz="4" w:space="0" w:color="auto"/>
              <w:right w:val="single" w:sz="4" w:space="0" w:color="auto"/>
            </w:tcBorders>
            <w:shd w:val="clear" w:color="auto" w:fill="CC99FF"/>
            <w:vAlign w:val="center"/>
            <w:hideMark/>
          </w:tcPr>
          <w:p w:rsidR="00B37D2D" w:rsidRPr="00537BBB" w:rsidRDefault="00B37D2D" w:rsidP="00AC3BF7">
            <w:pPr>
              <w:widowControl/>
              <w:spacing w:line="276" w:lineRule="auto"/>
              <w:ind w:firstLine="0"/>
              <w:jc w:val="center"/>
              <w:rPr>
                <w:rFonts w:ascii="仿宋_GB2312" w:eastAsia="仿宋_GB2312" w:hAnsi="宋体" w:cs="宋体"/>
                <w:b/>
                <w:bCs/>
                <w:color w:val="000000" w:themeColor="text1"/>
                <w:kern w:val="0"/>
                <w:sz w:val="24"/>
                <w:szCs w:val="24"/>
              </w:rPr>
            </w:pPr>
            <w:r w:rsidRPr="00537BBB">
              <w:rPr>
                <w:rFonts w:ascii="仿宋_GB2312" w:eastAsia="仿宋_GB2312" w:hAnsi="宋体" w:cs="宋体" w:hint="eastAsia"/>
                <w:b/>
                <w:bCs/>
                <w:color w:val="000000" w:themeColor="text1"/>
                <w:kern w:val="0"/>
                <w:sz w:val="24"/>
                <w:szCs w:val="24"/>
              </w:rPr>
              <w:t>适合的产品类型</w:t>
            </w:r>
          </w:p>
        </w:tc>
        <w:tc>
          <w:tcPr>
            <w:tcW w:w="1588" w:type="pct"/>
            <w:tcBorders>
              <w:top w:val="single" w:sz="4" w:space="0" w:color="auto"/>
              <w:left w:val="nil"/>
              <w:bottom w:val="single" w:sz="4" w:space="0" w:color="auto"/>
              <w:right w:val="single" w:sz="4" w:space="0" w:color="auto"/>
            </w:tcBorders>
            <w:shd w:val="clear" w:color="auto" w:fill="CC99FF"/>
          </w:tcPr>
          <w:p w:rsidR="00B37D2D" w:rsidRPr="00537BBB" w:rsidRDefault="00B37D2D" w:rsidP="00AC3BF7">
            <w:pPr>
              <w:widowControl/>
              <w:spacing w:line="276" w:lineRule="auto"/>
              <w:ind w:firstLine="0"/>
              <w:jc w:val="center"/>
              <w:rPr>
                <w:rFonts w:ascii="仿宋_GB2312" w:eastAsia="仿宋_GB2312" w:hAnsi="宋体" w:cs="宋体"/>
                <w:b/>
                <w:bCs/>
                <w:color w:val="000000" w:themeColor="text1"/>
                <w:kern w:val="0"/>
                <w:sz w:val="24"/>
                <w:szCs w:val="24"/>
              </w:rPr>
            </w:pPr>
            <w:r w:rsidRPr="00537BBB">
              <w:rPr>
                <w:rFonts w:ascii="仿宋_GB2312" w:eastAsia="仿宋_GB2312" w:hAnsi="宋体" w:cs="宋体" w:hint="eastAsia"/>
                <w:b/>
                <w:bCs/>
                <w:color w:val="000000" w:themeColor="text1"/>
                <w:kern w:val="0"/>
                <w:sz w:val="24"/>
                <w:szCs w:val="24"/>
              </w:rPr>
              <w:t>适合产品风险等级</w:t>
            </w:r>
          </w:p>
        </w:tc>
      </w:tr>
      <w:tr w:rsidR="00B37D2D" w:rsidRPr="00537BBB" w:rsidTr="00AC3BF7">
        <w:trPr>
          <w:trHeight w:val="285"/>
          <w:jc w:val="center"/>
        </w:trPr>
        <w:tc>
          <w:tcPr>
            <w:tcW w:w="863" w:type="pct"/>
            <w:tcBorders>
              <w:top w:val="nil"/>
              <w:left w:val="single" w:sz="4" w:space="0" w:color="auto"/>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小于等于20</w:t>
            </w:r>
          </w:p>
        </w:tc>
        <w:tc>
          <w:tcPr>
            <w:tcW w:w="787"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保守型</w:t>
            </w:r>
          </w:p>
        </w:tc>
        <w:tc>
          <w:tcPr>
            <w:tcW w:w="1762" w:type="pct"/>
            <w:tcBorders>
              <w:top w:val="nil"/>
              <w:left w:val="nil"/>
              <w:bottom w:val="single" w:sz="4" w:space="0" w:color="auto"/>
              <w:right w:val="single" w:sz="4" w:space="0" w:color="auto"/>
            </w:tcBorders>
            <w:vAlign w:val="center"/>
            <w:hideMark/>
          </w:tcPr>
          <w:p w:rsidR="00B37D2D" w:rsidRPr="00537BBB" w:rsidRDefault="00B37D2D" w:rsidP="00AC3BF7">
            <w:pPr>
              <w:spacing w:line="276" w:lineRule="auto"/>
              <w:ind w:firstLine="0"/>
              <w:rPr>
                <w:rFonts w:ascii="宋体" w:hAnsi="宋体" w:cs="宋体"/>
                <w:color w:val="000000" w:themeColor="text1"/>
                <w:sz w:val="24"/>
                <w:szCs w:val="24"/>
              </w:rPr>
            </w:pPr>
            <w:r w:rsidRPr="00537BBB">
              <w:rPr>
                <w:rFonts w:ascii="仿宋_GB2312" w:eastAsia="仿宋_GB2312" w:hAnsi="宋体" w:cs="宋体" w:hint="eastAsia"/>
                <w:color w:val="000000" w:themeColor="text1"/>
                <w:kern w:val="0"/>
                <w:sz w:val="24"/>
                <w:szCs w:val="24"/>
              </w:rPr>
              <w:t>低风险产品</w:t>
            </w:r>
          </w:p>
        </w:tc>
        <w:tc>
          <w:tcPr>
            <w:tcW w:w="1588" w:type="pct"/>
            <w:tcBorders>
              <w:top w:val="nil"/>
              <w:left w:val="nil"/>
              <w:bottom w:val="single" w:sz="4" w:space="0" w:color="auto"/>
              <w:right w:val="single" w:sz="4" w:space="0" w:color="auto"/>
            </w:tcBorders>
          </w:tcPr>
          <w:p w:rsidR="00B37D2D" w:rsidRPr="00537BBB" w:rsidRDefault="00B37D2D" w:rsidP="00AC3BF7">
            <w:pPr>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一级</w:t>
            </w:r>
          </w:p>
        </w:tc>
      </w:tr>
      <w:tr w:rsidR="00B37D2D" w:rsidRPr="00537BBB" w:rsidTr="00AC3BF7">
        <w:trPr>
          <w:trHeight w:val="285"/>
          <w:jc w:val="center"/>
        </w:trPr>
        <w:tc>
          <w:tcPr>
            <w:tcW w:w="863" w:type="pct"/>
            <w:tcBorders>
              <w:top w:val="nil"/>
              <w:left w:val="single" w:sz="4" w:space="0" w:color="auto"/>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21－45</w:t>
            </w:r>
          </w:p>
        </w:tc>
        <w:tc>
          <w:tcPr>
            <w:tcW w:w="787"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稳健型</w:t>
            </w:r>
          </w:p>
        </w:tc>
        <w:tc>
          <w:tcPr>
            <w:tcW w:w="1762"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中低风险及以下产品</w:t>
            </w:r>
          </w:p>
        </w:tc>
        <w:tc>
          <w:tcPr>
            <w:tcW w:w="1588" w:type="pct"/>
            <w:tcBorders>
              <w:top w:val="nil"/>
              <w:left w:val="nil"/>
              <w:bottom w:val="single" w:sz="4" w:space="0" w:color="auto"/>
              <w:right w:val="single" w:sz="4" w:space="0" w:color="auto"/>
            </w:tcBorders>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一级、二级</w:t>
            </w:r>
          </w:p>
        </w:tc>
      </w:tr>
      <w:tr w:rsidR="00B37D2D" w:rsidRPr="00537BBB" w:rsidTr="00AC3BF7">
        <w:trPr>
          <w:trHeight w:val="285"/>
          <w:jc w:val="center"/>
        </w:trPr>
        <w:tc>
          <w:tcPr>
            <w:tcW w:w="863" w:type="pct"/>
            <w:tcBorders>
              <w:top w:val="nil"/>
              <w:left w:val="single" w:sz="4" w:space="0" w:color="auto"/>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46－70</w:t>
            </w:r>
          </w:p>
        </w:tc>
        <w:tc>
          <w:tcPr>
            <w:tcW w:w="787"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平衡型</w:t>
            </w:r>
          </w:p>
        </w:tc>
        <w:tc>
          <w:tcPr>
            <w:tcW w:w="1762"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中风险及以下产品</w:t>
            </w:r>
          </w:p>
        </w:tc>
        <w:tc>
          <w:tcPr>
            <w:tcW w:w="1588" w:type="pct"/>
            <w:tcBorders>
              <w:top w:val="nil"/>
              <w:left w:val="nil"/>
              <w:bottom w:val="single" w:sz="4" w:space="0" w:color="auto"/>
              <w:right w:val="single" w:sz="4" w:space="0" w:color="auto"/>
            </w:tcBorders>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一级、二级、三级</w:t>
            </w:r>
          </w:p>
        </w:tc>
      </w:tr>
      <w:tr w:rsidR="00B37D2D" w:rsidRPr="00537BBB" w:rsidTr="00AC3BF7">
        <w:trPr>
          <w:trHeight w:val="314"/>
          <w:jc w:val="center"/>
        </w:trPr>
        <w:tc>
          <w:tcPr>
            <w:tcW w:w="863" w:type="pct"/>
            <w:tcBorders>
              <w:top w:val="nil"/>
              <w:left w:val="single" w:sz="4" w:space="0" w:color="auto"/>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71－85</w:t>
            </w:r>
          </w:p>
        </w:tc>
        <w:tc>
          <w:tcPr>
            <w:tcW w:w="787"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成长型</w:t>
            </w:r>
          </w:p>
        </w:tc>
        <w:tc>
          <w:tcPr>
            <w:tcW w:w="1762"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中高风险及以下产品</w:t>
            </w:r>
          </w:p>
        </w:tc>
        <w:tc>
          <w:tcPr>
            <w:tcW w:w="1588" w:type="pct"/>
            <w:tcBorders>
              <w:top w:val="nil"/>
              <w:left w:val="nil"/>
              <w:bottom w:val="single" w:sz="4" w:space="0" w:color="auto"/>
              <w:right w:val="single" w:sz="4" w:space="0" w:color="auto"/>
            </w:tcBorders>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一级、二级、三级、四级</w:t>
            </w:r>
          </w:p>
        </w:tc>
      </w:tr>
      <w:tr w:rsidR="00B37D2D" w:rsidRPr="00537BBB" w:rsidTr="00AC3BF7">
        <w:trPr>
          <w:trHeight w:val="249"/>
          <w:jc w:val="center"/>
        </w:trPr>
        <w:tc>
          <w:tcPr>
            <w:tcW w:w="863" w:type="pct"/>
            <w:tcBorders>
              <w:top w:val="nil"/>
              <w:left w:val="single" w:sz="4" w:space="0" w:color="auto"/>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86－100</w:t>
            </w:r>
          </w:p>
        </w:tc>
        <w:tc>
          <w:tcPr>
            <w:tcW w:w="787"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jc w:val="center"/>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进取型</w:t>
            </w:r>
          </w:p>
        </w:tc>
        <w:tc>
          <w:tcPr>
            <w:tcW w:w="1762" w:type="pct"/>
            <w:tcBorders>
              <w:top w:val="nil"/>
              <w:left w:val="nil"/>
              <w:bottom w:val="single" w:sz="4" w:space="0" w:color="auto"/>
              <w:right w:val="single" w:sz="4" w:space="0" w:color="auto"/>
            </w:tcBorders>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高风险及以下产品</w:t>
            </w:r>
          </w:p>
        </w:tc>
        <w:tc>
          <w:tcPr>
            <w:tcW w:w="1588" w:type="pct"/>
            <w:tcBorders>
              <w:top w:val="nil"/>
              <w:left w:val="nil"/>
              <w:bottom w:val="single" w:sz="4" w:space="0" w:color="auto"/>
              <w:right w:val="single" w:sz="4" w:space="0" w:color="auto"/>
            </w:tcBorders>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4"/>
              </w:rPr>
            </w:pPr>
            <w:r w:rsidRPr="00537BBB">
              <w:rPr>
                <w:rFonts w:ascii="仿宋_GB2312" w:eastAsia="仿宋_GB2312" w:hAnsi="宋体" w:cs="宋体" w:hint="eastAsia"/>
                <w:color w:val="000000" w:themeColor="text1"/>
                <w:kern w:val="0"/>
                <w:sz w:val="24"/>
                <w:szCs w:val="24"/>
              </w:rPr>
              <w:t>一级、二级、三级、四级、五级</w:t>
            </w:r>
          </w:p>
        </w:tc>
      </w:tr>
    </w:tbl>
    <w:p w:rsidR="00B37D2D" w:rsidRPr="00537BBB" w:rsidRDefault="00B37D2D" w:rsidP="00B37D2D">
      <w:pPr>
        <w:spacing w:before="240" w:after="120" w:line="276" w:lineRule="auto"/>
        <w:ind w:firstLine="0"/>
        <w:outlineLvl w:val="0"/>
        <w:rPr>
          <w:rFonts w:ascii="宋体" w:hAnsi="宋体"/>
          <w:color w:val="000000" w:themeColor="text1"/>
          <w:sz w:val="24"/>
        </w:rPr>
      </w:pPr>
      <w:r w:rsidRPr="00537BBB">
        <w:rPr>
          <w:rFonts w:ascii="宋体" w:hAnsi="宋体" w:hint="eastAsia"/>
          <w:color w:val="000000" w:themeColor="text1"/>
          <w:sz w:val="24"/>
        </w:rPr>
        <w:t>（二）产品风险评级</w:t>
      </w:r>
    </w:p>
    <w:tbl>
      <w:tblPr>
        <w:tblW w:w="5407" w:type="pct"/>
        <w:tblInd w:w="-318" w:type="dxa"/>
        <w:tblLook w:val="04A0"/>
      </w:tblPr>
      <w:tblGrid>
        <w:gridCol w:w="1702"/>
        <w:gridCol w:w="1559"/>
        <w:gridCol w:w="5955"/>
      </w:tblGrid>
      <w:tr w:rsidR="00B37D2D" w:rsidRPr="00537BBB" w:rsidTr="00AC3BF7">
        <w:trPr>
          <w:trHeight w:val="323"/>
        </w:trPr>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jc w:val="both"/>
              <w:rPr>
                <w:rFonts w:ascii="仿宋_GB2312" w:eastAsia="仿宋_GB2312" w:hAnsi="宋体" w:cs="宋体"/>
                <w:b/>
                <w:color w:val="000000" w:themeColor="text1"/>
                <w:kern w:val="0"/>
                <w:sz w:val="24"/>
                <w:szCs w:val="21"/>
              </w:rPr>
            </w:pPr>
            <w:r w:rsidRPr="00537BBB">
              <w:rPr>
                <w:rFonts w:ascii="仿宋_GB2312" w:eastAsia="仿宋_GB2312" w:hAnsi="宋体" w:cs="宋体" w:hint="eastAsia"/>
                <w:b/>
                <w:color w:val="000000" w:themeColor="text1"/>
                <w:kern w:val="0"/>
                <w:sz w:val="24"/>
                <w:szCs w:val="21"/>
              </w:rPr>
              <w:t>产品风险等级</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jc w:val="both"/>
              <w:rPr>
                <w:rFonts w:ascii="仿宋_GB2312" w:eastAsia="仿宋_GB2312" w:hAnsi="宋体" w:cs="宋体"/>
                <w:b/>
                <w:color w:val="000000" w:themeColor="text1"/>
                <w:kern w:val="0"/>
                <w:sz w:val="24"/>
                <w:szCs w:val="21"/>
              </w:rPr>
            </w:pPr>
            <w:r w:rsidRPr="00537BBB">
              <w:rPr>
                <w:rFonts w:ascii="仿宋_GB2312" w:eastAsia="仿宋_GB2312" w:hAnsi="宋体" w:cs="宋体" w:hint="eastAsia"/>
                <w:b/>
                <w:color w:val="000000" w:themeColor="text1"/>
                <w:kern w:val="0"/>
                <w:sz w:val="24"/>
                <w:szCs w:val="21"/>
              </w:rPr>
              <w:t>风险水平</w:t>
            </w:r>
          </w:p>
        </w:tc>
        <w:tc>
          <w:tcPr>
            <w:tcW w:w="3231" w:type="pct"/>
            <w:tcBorders>
              <w:top w:val="single" w:sz="4" w:space="0" w:color="auto"/>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jc w:val="center"/>
              <w:rPr>
                <w:rFonts w:ascii="仿宋_GB2312" w:eastAsia="仿宋_GB2312" w:hAnsi="宋体" w:cs="宋体"/>
                <w:b/>
                <w:color w:val="000000" w:themeColor="text1"/>
                <w:kern w:val="0"/>
                <w:sz w:val="24"/>
                <w:szCs w:val="21"/>
              </w:rPr>
            </w:pPr>
            <w:r w:rsidRPr="00537BBB">
              <w:rPr>
                <w:rFonts w:ascii="仿宋_GB2312" w:eastAsia="仿宋_GB2312" w:hAnsi="宋体" w:cs="宋体" w:hint="eastAsia"/>
                <w:b/>
                <w:color w:val="000000" w:themeColor="text1"/>
                <w:kern w:val="0"/>
                <w:sz w:val="24"/>
                <w:szCs w:val="21"/>
              </w:rPr>
              <w:t>评级说明</w:t>
            </w:r>
          </w:p>
        </w:tc>
      </w:tr>
      <w:tr w:rsidR="00B37D2D" w:rsidRPr="00537BBB" w:rsidTr="00AC3BF7">
        <w:trPr>
          <w:trHeight w:val="283"/>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一级</w:t>
            </w:r>
          </w:p>
        </w:tc>
        <w:tc>
          <w:tcPr>
            <w:tcW w:w="846"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低</w:t>
            </w:r>
          </w:p>
        </w:tc>
        <w:tc>
          <w:tcPr>
            <w:tcW w:w="3231"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产品本金和收益受风险因素影响很小。</w:t>
            </w:r>
          </w:p>
        </w:tc>
      </w:tr>
      <w:tr w:rsidR="00B37D2D" w:rsidRPr="00537BBB" w:rsidTr="00AC3BF7">
        <w:trPr>
          <w:trHeight w:val="103"/>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二级</w:t>
            </w:r>
          </w:p>
        </w:tc>
        <w:tc>
          <w:tcPr>
            <w:tcW w:w="846"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中低</w:t>
            </w:r>
          </w:p>
        </w:tc>
        <w:tc>
          <w:tcPr>
            <w:tcW w:w="3231"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产品本金和收益受风险因素影响较小。</w:t>
            </w:r>
          </w:p>
        </w:tc>
      </w:tr>
      <w:tr w:rsidR="00B37D2D" w:rsidRPr="00537BBB" w:rsidTr="00AC3BF7">
        <w:trPr>
          <w:trHeight w:val="70"/>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三级</w:t>
            </w:r>
          </w:p>
        </w:tc>
        <w:tc>
          <w:tcPr>
            <w:tcW w:w="846"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中</w:t>
            </w:r>
          </w:p>
        </w:tc>
        <w:tc>
          <w:tcPr>
            <w:tcW w:w="3231"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产品风险因素对本金和收益产生一定影响。</w:t>
            </w:r>
          </w:p>
        </w:tc>
      </w:tr>
      <w:tr w:rsidR="00B37D2D" w:rsidRPr="00537BBB" w:rsidTr="00AC3BF7">
        <w:trPr>
          <w:trHeight w:val="183"/>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四级</w:t>
            </w:r>
          </w:p>
        </w:tc>
        <w:tc>
          <w:tcPr>
            <w:tcW w:w="846"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中高</w:t>
            </w:r>
          </w:p>
        </w:tc>
        <w:tc>
          <w:tcPr>
            <w:tcW w:w="3231"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产品风险因素可能对本金产生较大影响，产品结构存在一定复杂性。</w:t>
            </w:r>
          </w:p>
        </w:tc>
      </w:tr>
      <w:tr w:rsidR="00B37D2D" w:rsidRPr="00537BBB" w:rsidTr="00AC3BF7">
        <w:trPr>
          <w:trHeight w:val="273"/>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五级</w:t>
            </w:r>
          </w:p>
        </w:tc>
        <w:tc>
          <w:tcPr>
            <w:tcW w:w="846"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高</w:t>
            </w:r>
          </w:p>
        </w:tc>
        <w:tc>
          <w:tcPr>
            <w:tcW w:w="3231" w:type="pct"/>
            <w:tcBorders>
              <w:top w:val="nil"/>
              <w:left w:val="nil"/>
              <w:bottom w:val="single" w:sz="4" w:space="0" w:color="auto"/>
              <w:right w:val="single" w:sz="4" w:space="0" w:color="auto"/>
            </w:tcBorders>
            <w:shd w:val="clear" w:color="auto" w:fill="auto"/>
            <w:vAlign w:val="center"/>
            <w:hideMark/>
          </w:tcPr>
          <w:p w:rsidR="00B37D2D" w:rsidRPr="00537BBB" w:rsidRDefault="00B37D2D" w:rsidP="00AC3BF7">
            <w:pPr>
              <w:widowControl/>
              <w:spacing w:line="276" w:lineRule="auto"/>
              <w:ind w:firstLine="0"/>
              <w:rPr>
                <w:rFonts w:ascii="仿宋_GB2312" w:eastAsia="仿宋_GB2312" w:hAnsi="宋体" w:cs="宋体"/>
                <w:color w:val="000000" w:themeColor="text1"/>
                <w:kern w:val="0"/>
                <w:sz w:val="24"/>
                <w:szCs w:val="21"/>
              </w:rPr>
            </w:pPr>
            <w:r w:rsidRPr="00537BBB">
              <w:rPr>
                <w:rFonts w:ascii="仿宋_GB2312" w:eastAsia="仿宋_GB2312" w:hAnsi="宋体" w:cs="宋体" w:hint="eastAsia"/>
                <w:color w:val="000000" w:themeColor="text1"/>
                <w:kern w:val="0"/>
                <w:sz w:val="24"/>
                <w:szCs w:val="21"/>
              </w:rPr>
              <w:t>产品风险因素可能对本金造成重大损失，产品结构较为复杂。</w:t>
            </w:r>
          </w:p>
        </w:tc>
      </w:tr>
    </w:tbl>
    <w:p w:rsidR="00B37D2D" w:rsidRPr="00537BBB" w:rsidRDefault="00B37D2D" w:rsidP="00B37D2D">
      <w:pPr>
        <w:spacing w:after="120" w:line="276" w:lineRule="auto"/>
        <w:ind w:firstLine="0"/>
        <w:outlineLvl w:val="0"/>
        <w:rPr>
          <w:rFonts w:ascii="宋体" w:hAnsi="宋体"/>
          <w:color w:val="000000" w:themeColor="text1"/>
        </w:rPr>
      </w:pPr>
      <w:r w:rsidRPr="00537BBB">
        <w:rPr>
          <w:rFonts w:ascii="宋体" w:hAnsi="宋体"/>
          <w:color w:val="000000" w:themeColor="text1"/>
        </w:rPr>
        <w:lastRenderedPageBreak/>
        <w:t>(*</w:t>
      </w:r>
      <w:r w:rsidRPr="00537BBB">
        <w:rPr>
          <w:rFonts w:ascii="宋体" w:hAnsi="宋体" w:hint="eastAsia"/>
          <w:color w:val="000000" w:themeColor="text1"/>
        </w:rPr>
        <w:t>本评级为银行内部评级，仅供参考)</w:t>
      </w:r>
    </w:p>
    <w:p w:rsidR="00B37D2D" w:rsidRPr="00537BBB" w:rsidRDefault="00B37D2D" w:rsidP="00B37D2D">
      <w:pPr>
        <w:spacing w:line="276" w:lineRule="auto"/>
        <w:ind w:firstLineChars="200" w:firstLine="480"/>
        <w:rPr>
          <w:rFonts w:ascii="宋体" w:hAnsi="宋体"/>
          <w:color w:val="000000" w:themeColor="text1"/>
          <w:sz w:val="24"/>
        </w:rPr>
      </w:pPr>
      <w:r w:rsidRPr="00537BBB">
        <w:rPr>
          <w:rFonts w:ascii="宋体" w:hAnsi="宋体" w:hint="eastAsia"/>
          <w:color w:val="000000" w:themeColor="text1"/>
          <w:sz w:val="24"/>
        </w:rPr>
        <w:t>产品资产投向、投资比例以及投资策略详见产品说明书。</w:t>
      </w:r>
      <w:r w:rsidRPr="00537BBB">
        <w:rPr>
          <w:rFonts w:ascii="宋体" w:hAnsi="宋体" w:hint="eastAsia"/>
          <w:b/>
          <w:color w:val="000000" w:themeColor="text1"/>
          <w:sz w:val="24"/>
        </w:rPr>
        <w:t>同类产品参考业绩比较基准不是理财产品预期收益率，不代表投资者可能获得的实际收益，仅作为产品投资管理的业绩目标，并用于计算浮动管理费用，不构成对本理财产品的任何收益承诺或担保。</w:t>
      </w:r>
    </w:p>
    <w:p w:rsidR="00B37D2D" w:rsidRPr="00537BBB" w:rsidRDefault="00B37D2D" w:rsidP="00B37D2D">
      <w:pPr>
        <w:pStyle w:val="a8"/>
        <w:spacing w:line="276" w:lineRule="auto"/>
        <w:outlineLvl w:val="0"/>
        <w:rPr>
          <w:rFonts w:hAnsi="宋体"/>
          <w:color w:val="000000" w:themeColor="text1"/>
          <w:sz w:val="28"/>
          <w:szCs w:val="28"/>
        </w:rPr>
      </w:pPr>
      <w:r w:rsidRPr="00537BBB">
        <w:rPr>
          <w:rFonts w:hAnsi="宋体" w:hint="eastAsia"/>
          <w:b/>
          <w:bCs w:val="0"/>
          <w:color w:val="000000" w:themeColor="text1"/>
          <w:sz w:val="28"/>
          <w:szCs w:val="28"/>
        </w:rPr>
        <w:t>三、信息披露</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（一）理财产品运作信息披露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1、本理财产品成立后，理财产品管理人在每个开放日（T日）通过广州农商银行网站（www.grcbank.com），披露上一开放日的理财产品单位净值，作为客户申购或赎回的参考；在T+1工作日，通过广州农商银行网站（www.grcbank.com），披露T日的理财产品单位净值，作为客户申购或赎回的依据。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2、理财产品管理人应当定期向投资人披露投资状况、投资表现、风险状况等信息，并通过广州农商银行网站（www.grcbank.com）进行公告。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3、如理财产品管理人决定本理财计划不成立，将在决定理财计划不成立后的1个工作日，在广州农商银行网站（www.grcbank.com）、各指定营业网点发布相关信息公告。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4、如理财产品管理人决定提前终止本理财产品，将于提前终止日的前2个工作日，在广州农商银行网站（www.grcbank.com）、各指定营业网点发布相关信息公告。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5、理财产品管理人将在本说明书约定的理财计划到期日后2个工作日内，在广州农商银行网站（www.grcbank.com）发布相关信息公告。</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（二）理财产品临时信息披露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本理财产品在运作管理过程中，发生以下可能对理财产品份额持有人权益及理财产品份额的交易价格产生重大影响的事项之一时，理财产品管理人或理财产品托管人将按照法律、法规及中国银监会的有关规定及时披露并在广州农商银行网站（www.grcbank.com）上公告。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（1）终止理财产品；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（2）转换理财产品运作方式；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（3）更换理财产品托管人；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（4）理财产品认购期延长；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（5）涉及理财产品管理业务、理财产品财产、理财产品托管业务的重大诉讼；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（6）理财产品管理人、理财产品托管人、投资顾问受到监管部门的调查；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（7）理财产品收益分配事项；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（8）固定管理费、销售服务费及托管费等费用计提标准、计提方式和费率发生变更；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（9）理财产品单位净值计价错误达理财计划单位净值百分之零点五；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（10）变更理财产品份额发售机构；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lastRenderedPageBreak/>
        <w:t xml:space="preserve">（11）理财产品暂停估值； </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（12）当发生巨额赎回并延期办理时，理财产品管理人应在3个工作日内通过指定途径刊登公告，并说明有关处理方法；</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（13）产品同类产品参考业绩比较基准调整；</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（14）其它应披露的事项。</w:t>
      </w:r>
    </w:p>
    <w:p w:rsidR="00B37D2D" w:rsidRPr="00537BBB" w:rsidRDefault="00B37D2D" w:rsidP="00B37D2D">
      <w:pPr>
        <w:spacing w:line="276" w:lineRule="auto"/>
        <w:ind w:firstLineChars="150" w:firstLine="36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（三）在本产品存续期间，广州农商银行可提前通过本银行门户网站（www.grcbank.com）、各指定营业网点发布相关信息，对投资范围、投资品种、投资比例或产品说明书其他条款进行补充、说明和修改。</w:t>
      </w:r>
    </w:p>
    <w:p w:rsidR="00B37D2D" w:rsidRPr="00537BBB" w:rsidRDefault="00B37D2D" w:rsidP="00B37D2D">
      <w:pPr>
        <w:spacing w:line="276" w:lineRule="auto"/>
        <w:ind w:firstLineChars="200" w:firstLine="480"/>
        <w:rPr>
          <w:rFonts w:ascii="宋体" w:hAnsi="宋体" w:cs="宋体"/>
          <w:color w:val="000000" w:themeColor="text1"/>
          <w:kern w:val="0"/>
          <w:sz w:val="24"/>
          <w:szCs w:val="24"/>
        </w:rPr>
      </w:pPr>
      <w:r w:rsidRPr="00537BBB">
        <w:rPr>
          <w:rFonts w:ascii="宋体" w:hAnsi="宋体" w:cs="宋体" w:hint="eastAsia"/>
          <w:color w:val="000000" w:themeColor="text1"/>
          <w:kern w:val="0"/>
          <w:sz w:val="24"/>
          <w:szCs w:val="24"/>
        </w:rPr>
        <w:t xml:space="preserve">客户如不同意补充或修改后的说明书，可根据广州农商银行的通知或公告在预设开放日或者新增开放日赎回投资本金和收益（如有）。  </w:t>
      </w:r>
    </w:p>
    <w:p w:rsidR="00B37D2D" w:rsidRPr="00537BBB" w:rsidRDefault="00B37D2D" w:rsidP="00B37D2D">
      <w:pPr>
        <w:spacing w:line="276" w:lineRule="auto"/>
        <w:ind w:firstLineChars="146" w:firstLine="352"/>
        <w:rPr>
          <w:rFonts w:ascii="宋体" w:hAnsi="宋体"/>
          <w:b/>
          <w:bCs/>
          <w:color w:val="000000" w:themeColor="text1"/>
          <w:sz w:val="24"/>
          <w:szCs w:val="24"/>
        </w:rPr>
      </w:pPr>
      <w:r w:rsidRPr="00537BBB">
        <w:rPr>
          <w:rFonts w:ascii="宋体" w:hAnsi="宋体" w:hint="eastAsia"/>
          <w:b/>
          <w:bCs/>
          <w:color w:val="000000" w:themeColor="text1"/>
          <w:sz w:val="24"/>
          <w:szCs w:val="24"/>
        </w:rPr>
        <w:t>（四）</w:t>
      </w:r>
      <w:r w:rsidRPr="00537BBB">
        <w:rPr>
          <w:rFonts w:ascii="宋体" w:hAnsi="宋体" w:hint="eastAsia"/>
          <w:b/>
          <w:bCs/>
          <w:color w:val="000000" w:themeColor="text1"/>
          <w:sz w:val="24"/>
          <w:szCs w:val="24"/>
          <w:u w:val="single"/>
        </w:rPr>
        <w:t>广州农村商业银行通过上述网站进行信息披露，如果投资者未及时查询，或由于通讯故障、系统故障以及其他不可抗力等因素的影响使得投资者无法及时了解产品信息，因此而产生的（包括但不限于因未及时获知信息而错过资金使用和再投资的机会等）全部责任和风险，由投资者自行承担。</w:t>
      </w:r>
    </w:p>
    <w:p w:rsidR="00B37D2D" w:rsidRPr="00537BBB" w:rsidRDefault="00B37D2D" w:rsidP="00B37D2D">
      <w:pPr>
        <w:spacing w:after="120" w:line="276" w:lineRule="auto"/>
        <w:ind w:firstLineChars="150" w:firstLine="360"/>
        <w:rPr>
          <w:rFonts w:ascii="宋体" w:hAnsi="宋体"/>
          <w:color w:val="000000" w:themeColor="text1"/>
          <w:sz w:val="24"/>
          <w:szCs w:val="24"/>
        </w:rPr>
      </w:pPr>
      <w:r w:rsidRPr="00537BBB">
        <w:rPr>
          <w:rFonts w:ascii="宋体" w:hAnsi="宋体" w:hint="eastAsia"/>
          <w:bCs/>
          <w:color w:val="000000" w:themeColor="text1"/>
          <w:sz w:val="24"/>
          <w:szCs w:val="24"/>
        </w:rPr>
        <w:t>（五）广州农村商业银行为投资者提供理财产品相关账单信息。投资者可凭有效证明文件在广州农村商业银行开户网点自行查</w:t>
      </w:r>
      <w:r w:rsidRPr="00537BBB">
        <w:rPr>
          <w:rFonts w:ascii="宋体" w:hAnsi="宋体" w:hint="eastAsia"/>
          <w:color w:val="000000" w:themeColor="text1"/>
          <w:sz w:val="24"/>
          <w:szCs w:val="24"/>
        </w:rPr>
        <w:t>询。</w:t>
      </w:r>
    </w:p>
    <w:p w:rsidR="00B37D2D" w:rsidRPr="00537BBB" w:rsidRDefault="00B37D2D" w:rsidP="00B37D2D">
      <w:pPr>
        <w:spacing w:after="120" w:line="276" w:lineRule="auto"/>
        <w:ind w:firstLineChars="150" w:firstLine="361"/>
        <w:rPr>
          <w:rFonts w:ascii="宋体" w:hAnsi="宋体"/>
          <w:b/>
          <w:color w:val="000000" w:themeColor="text1"/>
          <w:sz w:val="24"/>
          <w:u w:val="single"/>
        </w:rPr>
      </w:pPr>
      <w:r w:rsidRPr="00537BBB">
        <w:rPr>
          <w:rFonts w:ascii="宋体" w:hAnsi="宋体" w:hint="eastAsia"/>
          <w:b/>
          <w:color w:val="000000" w:themeColor="text1"/>
          <w:sz w:val="24"/>
          <w:u w:val="single"/>
        </w:rPr>
        <w:t>（六）根据本产品在理财登记系统取得的产品登记编码，投资者可在“中国理财网（www.chinawealth.com.cn）”上查询产品信息。</w:t>
      </w:r>
    </w:p>
    <w:p w:rsidR="00B37D2D" w:rsidRPr="00537BBB" w:rsidRDefault="00B37D2D" w:rsidP="00B37D2D">
      <w:pPr>
        <w:pStyle w:val="a8"/>
        <w:spacing w:line="276" w:lineRule="auto"/>
        <w:outlineLvl w:val="0"/>
        <w:rPr>
          <w:rFonts w:hAnsi="宋体"/>
          <w:color w:val="000000" w:themeColor="text1"/>
          <w:sz w:val="28"/>
          <w:szCs w:val="28"/>
        </w:rPr>
      </w:pPr>
      <w:r w:rsidRPr="00537BBB">
        <w:rPr>
          <w:rFonts w:hAnsi="宋体" w:hint="eastAsia"/>
          <w:b/>
          <w:bCs w:val="0"/>
          <w:color w:val="000000" w:themeColor="text1"/>
          <w:sz w:val="28"/>
          <w:szCs w:val="28"/>
        </w:rPr>
        <w:t>四、投诉处理和联系方式</w:t>
      </w:r>
    </w:p>
    <w:p w:rsidR="00B37D2D" w:rsidRPr="00537BBB" w:rsidRDefault="00B37D2D" w:rsidP="00B37D2D">
      <w:pPr>
        <w:spacing w:line="276" w:lineRule="auto"/>
        <w:ind w:firstLineChars="150" w:firstLine="360"/>
        <w:rPr>
          <w:rFonts w:ascii="宋体" w:hAnsi="宋体"/>
          <w:color w:val="000000" w:themeColor="text1"/>
          <w:sz w:val="24"/>
          <w:szCs w:val="24"/>
        </w:rPr>
      </w:pPr>
      <w:r w:rsidRPr="00537BBB">
        <w:rPr>
          <w:rFonts w:ascii="宋体" w:hAnsi="宋体" w:hint="eastAsia"/>
          <w:color w:val="000000" w:themeColor="text1"/>
          <w:sz w:val="24"/>
        </w:rPr>
        <w:t xml:space="preserve">客户可以通过拨打广州农村商业银行客户服务中心电话或以书信、邮件等方式，联系银行人员，或到营业网点，对我行所提供的产品与服务提出建议或投诉。我行将及时处理客户反映的相关建议及投诉。　　</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 xml:space="preserve">　　客户服务电话：95313</w:t>
      </w:r>
    </w:p>
    <w:p w:rsidR="00B37D2D" w:rsidRPr="00537BBB" w:rsidRDefault="00B37D2D" w:rsidP="00B37D2D">
      <w:pPr>
        <w:spacing w:line="276" w:lineRule="auto"/>
        <w:ind w:firstLineChars="350" w:firstLine="840"/>
        <w:rPr>
          <w:rFonts w:ascii="宋体" w:hAnsi="宋体"/>
          <w:color w:val="000000" w:themeColor="text1"/>
          <w:sz w:val="24"/>
        </w:rPr>
      </w:pPr>
      <w:r w:rsidRPr="00537BBB">
        <w:rPr>
          <w:rFonts w:ascii="宋体" w:hAnsi="宋体" w:hint="eastAsia"/>
          <w:color w:val="000000" w:themeColor="text1"/>
          <w:sz w:val="24"/>
        </w:rPr>
        <w:t>网站：</w:t>
      </w:r>
      <w:hyperlink r:id="rId8" w:history="1">
        <w:r w:rsidRPr="00537BBB">
          <w:rPr>
            <w:rStyle w:val="a6"/>
            <w:color w:val="000000" w:themeColor="text1"/>
          </w:rPr>
          <w:t>http://www.grcbank.com</w:t>
        </w:r>
      </w:hyperlink>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 xml:space="preserve">　　邮寄地址：广州市天河区珠江新城华夏路1号信合大厦</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 xml:space="preserve">　　邮编：510623　</w:t>
      </w:r>
    </w:p>
    <w:p w:rsidR="00B37D2D" w:rsidRPr="00537BBB" w:rsidRDefault="00B37D2D" w:rsidP="00B37D2D">
      <w:pPr>
        <w:spacing w:line="276" w:lineRule="auto"/>
        <w:ind w:firstLineChars="200" w:firstLine="480"/>
        <w:rPr>
          <w:rFonts w:ascii="宋体" w:hAnsi="宋体"/>
          <w:color w:val="000000" w:themeColor="text1"/>
          <w:sz w:val="24"/>
        </w:rPr>
      </w:pPr>
      <w:r w:rsidRPr="00537BBB">
        <w:rPr>
          <w:rFonts w:ascii="宋体" w:hAnsi="宋体" w:hint="eastAsia"/>
          <w:color w:val="000000" w:themeColor="text1"/>
          <w:sz w:val="24"/>
        </w:rPr>
        <w:t>客户在购买本理财产品前，应详细阅知《产品说明书》与《风险揭示书》等相关文件，明白该项投资的性质、所涉及的风险以及客户风险承受能力，并根据自身情况做出投资决策。广州农村商业银行承诺投资人利益优先，以恪守信用、勤勉尽责的态度为投资人提供服务。</w:t>
      </w:r>
    </w:p>
    <w:p w:rsidR="00B37D2D" w:rsidRPr="00537BBB" w:rsidRDefault="00B37D2D" w:rsidP="00B37D2D">
      <w:pPr>
        <w:spacing w:line="276" w:lineRule="auto"/>
        <w:ind w:firstLineChars="150" w:firstLine="360"/>
        <w:rPr>
          <w:rFonts w:ascii="宋体" w:hAnsi="宋体"/>
          <w:color w:val="000000" w:themeColor="text1"/>
          <w:sz w:val="24"/>
        </w:rPr>
      </w:pPr>
      <w:r w:rsidRPr="00537BBB">
        <w:rPr>
          <w:rFonts w:ascii="宋体" w:hAnsi="宋体" w:hint="eastAsia"/>
          <w:color w:val="000000" w:themeColor="text1"/>
          <w:sz w:val="24"/>
        </w:rPr>
        <w:t>涉及本理财产品的信息请以我行网站（</w:t>
      </w:r>
      <w:hyperlink r:id="rId9" w:history="1">
        <w:r w:rsidRPr="00537BBB">
          <w:rPr>
            <w:rStyle w:val="a6"/>
            <w:color w:val="000000" w:themeColor="text1"/>
          </w:rPr>
          <w:t>http://www.grcbank.com</w:t>
        </w:r>
      </w:hyperlink>
      <w:r w:rsidRPr="00537BBB">
        <w:rPr>
          <w:rFonts w:ascii="宋体" w:hAnsi="宋体" w:hint="eastAsia"/>
          <w:color w:val="000000" w:themeColor="text1"/>
          <w:sz w:val="24"/>
        </w:rPr>
        <w:t>）最新公告为准，我行保留最终解释权。</w:t>
      </w:r>
    </w:p>
    <w:p w:rsidR="00B37D2D" w:rsidRPr="00537BBB" w:rsidRDefault="00B37D2D" w:rsidP="00B37D2D">
      <w:pPr>
        <w:spacing w:after="120" w:line="276" w:lineRule="auto"/>
        <w:ind w:firstLine="0"/>
        <w:jc w:val="center"/>
        <w:rPr>
          <w:rFonts w:ascii="宋体" w:hAnsi="宋体"/>
          <w:color w:val="000000" w:themeColor="text1"/>
          <w:sz w:val="24"/>
        </w:rPr>
      </w:pPr>
    </w:p>
    <w:p w:rsidR="00B65BEF" w:rsidRPr="00537BBB" w:rsidRDefault="00B65BEF" w:rsidP="00B37D2D">
      <w:pPr>
        <w:widowControl/>
        <w:tabs>
          <w:tab w:val="left" w:pos="720"/>
        </w:tabs>
        <w:spacing w:line="300" w:lineRule="exact"/>
        <w:ind w:firstLine="0"/>
        <w:rPr>
          <w:rFonts w:ascii="宋体" w:hAnsi="宋体"/>
          <w:color w:val="000000" w:themeColor="text1"/>
          <w:sz w:val="24"/>
        </w:rPr>
      </w:pPr>
    </w:p>
    <w:sectPr w:rsidR="00B65BEF" w:rsidRPr="00537BBB" w:rsidSect="00574A6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7D" w:rsidRDefault="00BD7E7D" w:rsidP="004A3D40">
      <w:pPr>
        <w:ind w:firstLine="420"/>
      </w:pPr>
      <w:r>
        <w:separator/>
      </w:r>
    </w:p>
  </w:endnote>
  <w:endnote w:type="continuationSeparator" w:id="1">
    <w:p w:rsidR="00BD7E7D" w:rsidRDefault="00BD7E7D" w:rsidP="004A3D4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0780"/>
      <w:docPartObj>
        <w:docPartGallery w:val="Page Numbers (Bottom of Page)"/>
        <w:docPartUnique/>
      </w:docPartObj>
    </w:sdtPr>
    <w:sdtContent>
      <w:sdt>
        <w:sdtPr>
          <w:id w:val="171357217"/>
          <w:docPartObj>
            <w:docPartGallery w:val="Page Numbers (Top of Page)"/>
            <w:docPartUnique/>
          </w:docPartObj>
        </w:sdtPr>
        <w:sdtContent>
          <w:p w:rsidR="003C5984" w:rsidRDefault="0059763B">
            <w:pPr>
              <w:pStyle w:val="a4"/>
              <w:jc w:val="center"/>
            </w:pPr>
            <w:r>
              <w:rPr>
                <w:b/>
                <w:sz w:val="24"/>
                <w:szCs w:val="24"/>
              </w:rPr>
              <w:fldChar w:fldCharType="begin"/>
            </w:r>
            <w:r w:rsidR="003C5984">
              <w:rPr>
                <w:b/>
              </w:rPr>
              <w:instrText>PAGE</w:instrText>
            </w:r>
            <w:r>
              <w:rPr>
                <w:b/>
                <w:sz w:val="24"/>
                <w:szCs w:val="24"/>
              </w:rPr>
              <w:fldChar w:fldCharType="separate"/>
            </w:r>
            <w:r w:rsidR="001F21D2">
              <w:rPr>
                <w:b/>
                <w:noProof/>
              </w:rPr>
              <w:t>1</w:t>
            </w:r>
            <w:r>
              <w:rPr>
                <w:b/>
                <w:sz w:val="24"/>
                <w:szCs w:val="24"/>
              </w:rPr>
              <w:fldChar w:fldCharType="end"/>
            </w:r>
            <w:r w:rsidR="003C5984">
              <w:rPr>
                <w:lang w:val="zh-CN"/>
              </w:rPr>
              <w:t xml:space="preserve"> / </w:t>
            </w:r>
            <w:r>
              <w:rPr>
                <w:b/>
                <w:sz w:val="24"/>
                <w:szCs w:val="24"/>
              </w:rPr>
              <w:fldChar w:fldCharType="begin"/>
            </w:r>
            <w:r w:rsidR="003C5984">
              <w:rPr>
                <w:b/>
              </w:rPr>
              <w:instrText>NUMPAGES</w:instrText>
            </w:r>
            <w:r>
              <w:rPr>
                <w:b/>
                <w:sz w:val="24"/>
                <w:szCs w:val="24"/>
              </w:rPr>
              <w:fldChar w:fldCharType="separate"/>
            </w:r>
            <w:r w:rsidR="001F21D2">
              <w:rPr>
                <w:b/>
                <w:noProof/>
              </w:rPr>
              <w:t>19</w:t>
            </w:r>
            <w:r>
              <w:rPr>
                <w:b/>
                <w:sz w:val="24"/>
                <w:szCs w:val="24"/>
              </w:rPr>
              <w:fldChar w:fldCharType="end"/>
            </w:r>
          </w:p>
        </w:sdtContent>
      </w:sdt>
    </w:sdtContent>
  </w:sdt>
  <w:p w:rsidR="003C5984" w:rsidRDefault="003C59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7D" w:rsidRDefault="00BD7E7D" w:rsidP="004A3D40">
      <w:pPr>
        <w:ind w:firstLine="420"/>
      </w:pPr>
      <w:r>
        <w:separator/>
      </w:r>
    </w:p>
  </w:footnote>
  <w:footnote w:type="continuationSeparator" w:id="1">
    <w:p w:rsidR="00BD7E7D" w:rsidRDefault="00BD7E7D" w:rsidP="004A3D4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84" w:rsidRDefault="003C5984" w:rsidP="004A3D40">
    <w:pPr>
      <w:pStyle w:val="1"/>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80" w:hanging="360"/>
      </w:pPr>
      <w:rPr>
        <w:rFonts w:ascii="Times New Roman" w:hAnsi="Times New Roman" w:cs="Times New Roman" w:hint="default"/>
        <w:u w:color="000000"/>
      </w:rPr>
    </w:lvl>
    <w:lvl w:ilvl="1">
      <w:start w:val="1"/>
      <w:numFmt w:val="lowerLetter"/>
      <w:lvlText w:val="%2)"/>
      <w:lvlJc w:val="left"/>
      <w:pPr>
        <w:ind w:left="1260" w:hanging="420"/>
      </w:pPr>
      <w:rPr>
        <w:rFonts w:ascii="Times New Roman" w:hAnsi="Times New Roman" w:cs="Times New Roman" w:hint="default"/>
        <w:u w:color="000000"/>
      </w:rPr>
    </w:lvl>
    <w:lvl w:ilvl="2">
      <w:start w:val="1"/>
      <w:numFmt w:val="lowerRoman"/>
      <w:lvlText w:val="%3."/>
      <w:lvlJc w:val="right"/>
      <w:pPr>
        <w:ind w:left="1680" w:hanging="420"/>
      </w:pPr>
      <w:rPr>
        <w:rFonts w:ascii="Times New Roman" w:hAnsi="Times New Roman" w:cs="Times New Roman" w:hint="default"/>
        <w:u w:color="000000"/>
      </w:rPr>
    </w:lvl>
    <w:lvl w:ilvl="3">
      <w:start w:val="1"/>
      <w:numFmt w:val="decimal"/>
      <w:lvlText w:val="%4."/>
      <w:lvlJc w:val="left"/>
      <w:pPr>
        <w:ind w:left="2100" w:hanging="420"/>
      </w:pPr>
      <w:rPr>
        <w:rFonts w:ascii="Times New Roman" w:hAnsi="Times New Roman" w:cs="Times New Roman" w:hint="default"/>
        <w:u w:color="000000"/>
      </w:rPr>
    </w:lvl>
    <w:lvl w:ilvl="4">
      <w:start w:val="1"/>
      <w:numFmt w:val="lowerLetter"/>
      <w:lvlText w:val="%5)"/>
      <w:lvlJc w:val="left"/>
      <w:pPr>
        <w:ind w:left="2520" w:hanging="420"/>
      </w:pPr>
      <w:rPr>
        <w:rFonts w:ascii="Times New Roman" w:hAnsi="Times New Roman" w:cs="Times New Roman" w:hint="default"/>
        <w:u w:color="000000"/>
      </w:rPr>
    </w:lvl>
    <w:lvl w:ilvl="5">
      <w:start w:val="1"/>
      <w:numFmt w:val="lowerRoman"/>
      <w:lvlText w:val="%6."/>
      <w:lvlJc w:val="right"/>
      <w:pPr>
        <w:ind w:left="2940" w:hanging="420"/>
      </w:pPr>
      <w:rPr>
        <w:rFonts w:ascii="Times New Roman" w:hAnsi="Times New Roman" w:cs="Times New Roman" w:hint="default"/>
        <w:u w:color="000000"/>
      </w:rPr>
    </w:lvl>
    <w:lvl w:ilvl="6">
      <w:start w:val="1"/>
      <w:numFmt w:val="decimal"/>
      <w:lvlText w:val="%7."/>
      <w:lvlJc w:val="left"/>
      <w:pPr>
        <w:ind w:left="3360" w:hanging="420"/>
      </w:pPr>
      <w:rPr>
        <w:rFonts w:ascii="Times New Roman" w:hAnsi="Times New Roman" w:cs="Times New Roman" w:hint="default"/>
        <w:u w:color="000000"/>
      </w:rPr>
    </w:lvl>
    <w:lvl w:ilvl="7">
      <w:start w:val="1"/>
      <w:numFmt w:val="lowerLetter"/>
      <w:lvlText w:val="%8)"/>
      <w:lvlJc w:val="left"/>
      <w:pPr>
        <w:ind w:left="3780" w:hanging="420"/>
      </w:pPr>
      <w:rPr>
        <w:rFonts w:ascii="Times New Roman" w:hAnsi="Times New Roman" w:cs="Times New Roman" w:hint="default"/>
        <w:u w:color="000000"/>
      </w:rPr>
    </w:lvl>
    <w:lvl w:ilvl="8">
      <w:start w:val="1"/>
      <w:numFmt w:val="lowerRoman"/>
      <w:lvlText w:val="%9."/>
      <w:lvlJc w:val="right"/>
      <w:pPr>
        <w:ind w:left="4200" w:hanging="420"/>
      </w:pPr>
      <w:rPr>
        <w:rFonts w:ascii="Times New Roman" w:hAnsi="Times New Roman" w:cs="Times New Roman" w:hint="default"/>
        <w:u w:color="000000"/>
      </w:rPr>
    </w:lvl>
  </w:abstractNum>
  <w:abstractNum w:abstractNumId="1">
    <w:nsid w:val="00000008"/>
    <w:multiLevelType w:val="multilevel"/>
    <w:tmpl w:val="00000008"/>
    <w:lvl w:ilvl="0">
      <w:start w:val="1"/>
      <w:numFmt w:val="bullet"/>
      <w:lvlText w:val=""/>
      <w:lvlJc w:val="left"/>
      <w:pPr>
        <w:ind w:left="780" w:hanging="420"/>
      </w:pPr>
      <w:rPr>
        <w:rFonts w:ascii="Wingdings" w:hAnsi="Wingdings" w:hint="default"/>
        <w:u w:color="000000"/>
      </w:rPr>
    </w:lvl>
    <w:lvl w:ilvl="1">
      <w:start w:val="1"/>
      <w:numFmt w:val="bullet"/>
      <w:lvlText w:val=""/>
      <w:lvlJc w:val="left"/>
      <w:pPr>
        <w:ind w:left="1200" w:hanging="420"/>
      </w:pPr>
      <w:rPr>
        <w:rFonts w:ascii="Wingdings" w:hAnsi="Wingdings" w:hint="default"/>
        <w:u w:color="000000"/>
      </w:rPr>
    </w:lvl>
    <w:lvl w:ilvl="2">
      <w:start w:val="1"/>
      <w:numFmt w:val="bullet"/>
      <w:lvlText w:val=""/>
      <w:lvlJc w:val="left"/>
      <w:pPr>
        <w:ind w:left="1620" w:hanging="420"/>
      </w:pPr>
      <w:rPr>
        <w:rFonts w:ascii="Wingdings" w:hAnsi="Wingdings" w:hint="default"/>
        <w:u w:color="000000"/>
      </w:rPr>
    </w:lvl>
    <w:lvl w:ilvl="3">
      <w:start w:val="1"/>
      <w:numFmt w:val="bullet"/>
      <w:lvlText w:val=""/>
      <w:lvlJc w:val="left"/>
      <w:pPr>
        <w:ind w:left="2040" w:hanging="420"/>
      </w:pPr>
      <w:rPr>
        <w:rFonts w:ascii="Wingdings" w:hAnsi="Wingdings" w:hint="default"/>
        <w:u w:color="000000"/>
      </w:rPr>
    </w:lvl>
    <w:lvl w:ilvl="4">
      <w:start w:val="1"/>
      <w:numFmt w:val="bullet"/>
      <w:lvlText w:val=""/>
      <w:lvlJc w:val="left"/>
      <w:pPr>
        <w:ind w:left="2460" w:hanging="420"/>
      </w:pPr>
      <w:rPr>
        <w:rFonts w:ascii="Wingdings" w:hAnsi="Wingdings" w:hint="default"/>
        <w:u w:color="000000"/>
      </w:rPr>
    </w:lvl>
    <w:lvl w:ilvl="5">
      <w:start w:val="1"/>
      <w:numFmt w:val="bullet"/>
      <w:lvlText w:val=""/>
      <w:lvlJc w:val="left"/>
      <w:pPr>
        <w:ind w:left="2880" w:hanging="420"/>
      </w:pPr>
      <w:rPr>
        <w:rFonts w:ascii="Wingdings" w:hAnsi="Wingdings" w:hint="default"/>
        <w:u w:color="000000"/>
      </w:rPr>
    </w:lvl>
    <w:lvl w:ilvl="6">
      <w:start w:val="1"/>
      <w:numFmt w:val="bullet"/>
      <w:lvlText w:val=""/>
      <w:lvlJc w:val="left"/>
      <w:pPr>
        <w:ind w:left="3300" w:hanging="420"/>
      </w:pPr>
      <w:rPr>
        <w:rFonts w:ascii="Wingdings" w:hAnsi="Wingdings" w:hint="default"/>
        <w:u w:color="000000"/>
      </w:rPr>
    </w:lvl>
    <w:lvl w:ilvl="7">
      <w:start w:val="1"/>
      <w:numFmt w:val="bullet"/>
      <w:lvlText w:val=""/>
      <w:lvlJc w:val="left"/>
      <w:pPr>
        <w:ind w:left="3720" w:hanging="420"/>
      </w:pPr>
      <w:rPr>
        <w:rFonts w:ascii="Wingdings" w:hAnsi="Wingdings" w:hint="default"/>
        <w:u w:color="000000"/>
      </w:rPr>
    </w:lvl>
    <w:lvl w:ilvl="8">
      <w:start w:val="1"/>
      <w:numFmt w:val="bullet"/>
      <w:lvlText w:val=""/>
      <w:lvlJc w:val="left"/>
      <w:pPr>
        <w:ind w:left="4140" w:hanging="420"/>
      </w:pPr>
      <w:rPr>
        <w:rFonts w:ascii="Wingdings" w:hAnsi="Wingdings" w:hint="default"/>
        <w:u w:color="000000"/>
      </w:rPr>
    </w:lvl>
  </w:abstractNum>
  <w:abstractNum w:abstractNumId="2">
    <w:nsid w:val="0000000A"/>
    <w:multiLevelType w:val="multilevel"/>
    <w:tmpl w:val="0000000A"/>
    <w:lvl w:ilvl="0">
      <w:start w:val="1"/>
      <w:numFmt w:val="decimal"/>
      <w:lvlText w:val="%1)"/>
      <w:lvlJc w:val="left"/>
      <w:pPr>
        <w:ind w:left="840" w:hanging="420"/>
      </w:pPr>
      <w:rPr>
        <w:rFonts w:ascii="Times New Roman" w:hAnsi="Times New Roman" w:cs="Times New Roman" w:hint="default"/>
        <w:u w:color="000000"/>
      </w:rPr>
    </w:lvl>
    <w:lvl w:ilvl="1">
      <w:start w:val="1"/>
      <w:numFmt w:val="decimal"/>
      <w:lvlText w:val="%2)"/>
      <w:lvlJc w:val="left"/>
      <w:pPr>
        <w:ind w:left="846" w:hanging="420"/>
      </w:pPr>
      <w:rPr>
        <w:rFonts w:ascii="Times New Roman" w:hAnsi="Times New Roman" w:cs="Times New Roman" w:hint="default"/>
        <w:u w:color="000000"/>
      </w:rPr>
    </w:lvl>
    <w:lvl w:ilvl="2">
      <w:start w:val="1"/>
      <w:numFmt w:val="lowerRoman"/>
      <w:lvlText w:val="%3."/>
      <w:lvlJc w:val="right"/>
      <w:pPr>
        <w:ind w:left="1680" w:hanging="420"/>
      </w:pPr>
      <w:rPr>
        <w:rFonts w:ascii="Times New Roman" w:hAnsi="Times New Roman" w:cs="Times New Roman" w:hint="default"/>
        <w:u w:color="000000"/>
      </w:rPr>
    </w:lvl>
    <w:lvl w:ilvl="3">
      <w:start w:val="1"/>
      <w:numFmt w:val="decimal"/>
      <w:lvlText w:val="%4."/>
      <w:lvlJc w:val="left"/>
      <w:pPr>
        <w:ind w:left="2100" w:hanging="420"/>
      </w:pPr>
      <w:rPr>
        <w:rFonts w:ascii="Times New Roman" w:hAnsi="Times New Roman" w:cs="Times New Roman" w:hint="default"/>
        <w:u w:color="000000"/>
      </w:rPr>
    </w:lvl>
    <w:lvl w:ilvl="4">
      <w:start w:val="1"/>
      <w:numFmt w:val="lowerLetter"/>
      <w:lvlText w:val="%5)"/>
      <w:lvlJc w:val="left"/>
      <w:pPr>
        <w:ind w:left="2520" w:hanging="420"/>
      </w:pPr>
      <w:rPr>
        <w:rFonts w:ascii="Times New Roman" w:hAnsi="Times New Roman" w:cs="Times New Roman" w:hint="default"/>
        <w:u w:color="000000"/>
      </w:rPr>
    </w:lvl>
    <w:lvl w:ilvl="5">
      <w:start w:val="1"/>
      <w:numFmt w:val="lowerRoman"/>
      <w:lvlText w:val="%6."/>
      <w:lvlJc w:val="right"/>
      <w:pPr>
        <w:ind w:left="2940" w:hanging="420"/>
      </w:pPr>
      <w:rPr>
        <w:rFonts w:ascii="Times New Roman" w:hAnsi="Times New Roman" w:cs="Times New Roman" w:hint="default"/>
        <w:u w:color="000000"/>
      </w:rPr>
    </w:lvl>
    <w:lvl w:ilvl="6">
      <w:start w:val="1"/>
      <w:numFmt w:val="decimal"/>
      <w:lvlText w:val="%7."/>
      <w:lvlJc w:val="left"/>
      <w:pPr>
        <w:ind w:left="3360" w:hanging="420"/>
      </w:pPr>
      <w:rPr>
        <w:rFonts w:ascii="Times New Roman" w:hAnsi="Times New Roman" w:cs="Times New Roman" w:hint="default"/>
        <w:u w:color="000000"/>
      </w:rPr>
    </w:lvl>
    <w:lvl w:ilvl="7">
      <w:start w:val="1"/>
      <w:numFmt w:val="lowerLetter"/>
      <w:lvlText w:val="%8)"/>
      <w:lvlJc w:val="left"/>
      <w:pPr>
        <w:ind w:left="3780" w:hanging="420"/>
      </w:pPr>
      <w:rPr>
        <w:rFonts w:ascii="Times New Roman" w:hAnsi="Times New Roman" w:cs="Times New Roman" w:hint="default"/>
        <w:u w:color="000000"/>
      </w:rPr>
    </w:lvl>
    <w:lvl w:ilvl="8">
      <w:start w:val="1"/>
      <w:numFmt w:val="lowerRoman"/>
      <w:lvlText w:val="%9."/>
      <w:lvlJc w:val="right"/>
      <w:pPr>
        <w:ind w:left="4200" w:hanging="420"/>
      </w:pPr>
      <w:rPr>
        <w:rFonts w:ascii="Times New Roman" w:hAnsi="Times New Roman" w:cs="Times New Roman" w:hint="default"/>
        <w:u w:color="000000"/>
      </w:rPr>
    </w:lvl>
  </w:abstractNum>
  <w:abstractNum w:abstractNumId="3">
    <w:nsid w:val="0000000E"/>
    <w:multiLevelType w:val="multilevel"/>
    <w:tmpl w:val="0000000E"/>
    <w:lvl w:ilvl="0">
      <w:start w:val="1"/>
      <w:numFmt w:val="decimal"/>
      <w:lvlText w:val="%1、"/>
      <w:lvlJc w:val="left"/>
      <w:pPr>
        <w:ind w:left="420" w:hanging="420"/>
      </w:pPr>
      <w:rPr>
        <w:rFonts w:ascii="Times New Roman" w:hAnsi="Times New Roman" w:cs="Times New Roman" w:hint="default"/>
        <w:u w:color="000000"/>
      </w:rPr>
    </w:lvl>
    <w:lvl w:ilvl="1">
      <w:start w:val="1"/>
      <w:numFmt w:val="lowerLetter"/>
      <w:lvlText w:val="%2)"/>
      <w:lvlJc w:val="left"/>
      <w:pPr>
        <w:ind w:left="840" w:hanging="420"/>
      </w:pPr>
      <w:rPr>
        <w:rFonts w:ascii="Times New Roman" w:hAnsi="Times New Roman" w:cs="Times New Roman" w:hint="default"/>
        <w:u w:color="000000"/>
      </w:rPr>
    </w:lvl>
    <w:lvl w:ilvl="2">
      <w:start w:val="1"/>
      <w:numFmt w:val="lowerRoman"/>
      <w:lvlText w:val="%3."/>
      <w:lvlJc w:val="right"/>
      <w:pPr>
        <w:ind w:left="1260" w:hanging="420"/>
      </w:pPr>
      <w:rPr>
        <w:rFonts w:ascii="Times New Roman" w:hAnsi="Times New Roman" w:cs="Times New Roman" w:hint="default"/>
        <w:u w:color="000000"/>
      </w:rPr>
    </w:lvl>
    <w:lvl w:ilvl="3">
      <w:start w:val="1"/>
      <w:numFmt w:val="decimal"/>
      <w:lvlText w:val="%4."/>
      <w:lvlJc w:val="left"/>
      <w:pPr>
        <w:ind w:left="1680" w:hanging="420"/>
      </w:pPr>
      <w:rPr>
        <w:rFonts w:ascii="Times New Roman" w:hAnsi="Times New Roman" w:cs="Times New Roman" w:hint="default"/>
        <w:u w:color="000000"/>
      </w:rPr>
    </w:lvl>
    <w:lvl w:ilvl="4">
      <w:start w:val="1"/>
      <w:numFmt w:val="lowerLetter"/>
      <w:lvlText w:val="%5)"/>
      <w:lvlJc w:val="left"/>
      <w:pPr>
        <w:ind w:left="2100" w:hanging="420"/>
      </w:pPr>
      <w:rPr>
        <w:rFonts w:ascii="Times New Roman" w:hAnsi="Times New Roman" w:cs="Times New Roman" w:hint="default"/>
        <w:u w:color="000000"/>
      </w:rPr>
    </w:lvl>
    <w:lvl w:ilvl="5">
      <w:start w:val="1"/>
      <w:numFmt w:val="lowerRoman"/>
      <w:lvlText w:val="%6."/>
      <w:lvlJc w:val="right"/>
      <w:pPr>
        <w:ind w:left="2520" w:hanging="420"/>
      </w:pPr>
      <w:rPr>
        <w:rFonts w:ascii="Times New Roman" w:hAnsi="Times New Roman" w:cs="Times New Roman" w:hint="default"/>
        <w:u w:color="000000"/>
      </w:rPr>
    </w:lvl>
    <w:lvl w:ilvl="6">
      <w:start w:val="1"/>
      <w:numFmt w:val="decimal"/>
      <w:lvlText w:val="%7."/>
      <w:lvlJc w:val="left"/>
      <w:pPr>
        <w:ind w:left="2940" w:hanging="420"/>
      </w:pPr>
      <w:rPr>
        <w:rFonts w:ascii="Times New Roman" w:hAnsi="Times New Roman" w:cs="Times New Roman" w:hint="default"/>
        <w:u w:color="000000"/>
      </w:rPr>
    </w:lvl>
    <w:lvl w:ilvl="7">
      <w:start w:val="1"/>
      <w:numFmt w:val="lowerLetter"/>
      <w:lvlText w:val="%8)"/>
      <w:lvlJc w:val="left"/>
      <w:pPr>
        <w:ind w:left="3360" w:hanging="420"/>
      </w:pPr>
      <w:rPr>
        <w:rFonts w:ascii="Times New Roman" w:hAnsi="Times New Roman" w:cs="Times New Roman" w:hint="default"/>
        <w:u w:color="000000"/>
      </w:rPr>
    </w:lvl>
    <w:lvl w:ilvl="8">
      <w:start w:val="1"/>
      <w:numFmt w:val="lowerRoman"/>
      <w:lvlText w:val="%9."/>
      <w:lvlJc w:val="right"/>
      <w:pPr>
        <w:ind w:left="3780" w:hanging="420"/>
      </w:pPr>
      <w:rPr>
        <w:rFonts w:ascii="Times New Roman" w:hAnsi="Times New Roman" w:cs="Times New Roman" w:hint="default"/>
        <w:u w:color="000000"/>
      </w:rPr>
    </w:lvl>
  </w:abstractNum>
  <w:abstractNum w:abstractNumId="4">
    <w:nsid w:val="045E49A8"/>
    <w:multiLevelType w:val="hybridMultilevel"/>
    <w:tmpl w:val="DAB023D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735062C"/>
    <w:multiLevelType w:val="hybridMultilevel"/>
    <w:tmpl w:val="5F2C90C0"/>
    <w:lvl w:ilvl="0" w:tplc="8FCE4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4C77C8"/>
    <w:multiLevelType w:val="hybridMultilevel"/>
    <w:tmpl w:val="0ABE626C"/>
    <w:lvl w:ilvl="0" w:tplc="31F27F7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402926C8"/>
    <w:multiLevelType w:val="hybridMultilevel"/>
    <w:tmpl w:val="A956F2C6"/>
    <w:lvl w:ilvl="0" w:tplc="5E0C875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33012A5"/>
    <w:multiLevelType w:val="multilevel"/>
    <w:tmpl w:val="533012A5"/>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80A"/>
    <w:rsid w:val="000018E4"/>
    <w:rsid w:val="00004EBB"/>
    <w:rsid w:val="0000763D"/>
    <w:rsid w:val="0001285A"/>
    <w:rsid w:val="00012DE3"/>
    <w:rsid w:val="000163F5"/>
    <w:rsid w:val="00016AED"/>
    <w:rsid w:val="00017B62"/>
    <w:rsid w:val="00021B55"/>
    <w:rsid w:val="00026852"/>
    <w:rsid w:val="000305DF"/>
    <w:rsid w:val="0003237E"/>
    <w:rsid w:val="000369B4"/>
    <w:rsid w:val="00036B35"/>
    <w:rsid w:val="00037D17"/>
    <w:rsid w:val="0004031A"/>
    <w:rsid w:val="00040BA4"/>
    <w:rsid w:val="00043E7F"/>
    <w:rsid w:val="0004442B"/>
    <w:rsid w:val="00045598"/>
    <w:rsid w:val="000465B0"/>
    <w:rsid w:val="00053A51"/>
    <w:rsid w:val="00057D31"/>
    <w:rsid w:val="00057D4B"/>
    <w:rsid w:val="00061B51"/>
    <w:rsid w:val="00063604"/>
    <w:rsid w:val="00065D93"/>
    <w:rsid w:val="000660A4"/>
    <w:rsid w:val="000672EC"/>
    <w:rsid w:val="00067559"/>
    <w:rsid w:val="00067631"/>
    <w:rsid w:val="00067A27"/>
    <w:rsid w:val="000701CB"/>
    <w:rsid w:val="00074AD1"/>
    <w:rsid w:val="00077AEA"/>
    <w:rsid w:val="000826A6"/>
    <w:rsid w:val="00082DB8"/>
    <w:rsid w:val="00083C32"/>
    <w:rsid w:val="00083F3C"/>
    <w:rsid w:val="0008560F"/>
    <w:rsid w:val="000901FA"/>
    <w:rsid w:val="0009217A"/>
    <w:rsid w:val="00095362"/>
    <w:rsid w:val="000A03AE"/>
    <w:rsid w:val="000A2805"/>
    <w:rsid w:val="000A53F6"/>
    <w:rsid w:val="000A5AAB"/>
    <w:rsid w:val="000B0AF2"/>
    <w:rsid w:val="000B6796"/>
    <w:rsid w:val="000C0776"/>
    <w:rsid w:val="000C0B26"/>
    <w:rsid w:val="000C50F1"/>
    <w:rsid w:val="000D4956"/>
    <w:rsid w:val="000E1465"/>
    <w:rsid w:val="000E3246"/>
    <w:rsid w:val="000E3F36"/>
    <w:rsid w:val="000E57A3"/>
    <w:rsid w:val="000E7AEA"/>
    <w:rsid w:val="000F228A"/>
    <w:rsid w:val="000F7FDE"/>
    <w:rsid w:val="001018D2"/>
    <w:rsid w:val="00101BE2"/>
    <w:rsid w:val="0010234C"/>
    <w:rsid w:val="0010296C"/>
    <w:rsid w:val="0010358A"/>
    <w:rsid w:val="00104E0B"/>
    <w:rsid w:val="00106E00"/>
    <w:rsid w:val="00110486"/>
    <w:rsid w:val="00112AFB"/>
    <w:rsid w:val="00113825"/>
    <w:rsid w:val="0011486A"/>
    <w:rsid w:val="00117FBD"/>
    <w:rsid w:val="00121DF0"/>
    <w:rsid w:val="00121FB2"/>
    <w:rsid w:val="001244ED"/>
    <w:rsid w:val="0012770A"/>
    <w:rsid w:val="00133169"/>
    <w:rsid w:val="00140267"/>
    <w:rsid w:val="001421AB"/>
    <w:rsid w:val="00142663"/>
    <w:rsid w:val="00143A6E"/>
    <w:rsid w:val="00143C73"/>
    <w:rsid w:val="00144A97"/>
    <w:rsid w:val="00145DB7"/>
    <w:rsid w:val="00146D4B"/>
    <w:rsid w:val="00147B94"/>
    <w:rsid w:val="00147E48"/>
    <w:rsid w:val="00151DEA"/>
    <w:rsid w:val="00154656"/>
    <w:rsid w:val="00155981"/>
    <w:rsid w:val="001559CA"/>
    <w:rsid w:val="00157957"/>
    <w:rsid w:val="0016180A"/>
    <w:rsid w:val="00163166"/>
    <w:rsid w:val="001645FD"/>
    <w:rsid w:val="00170D64"/>
    <w:rsid w:val="0017129F"/>
    <w:rsid w:val="001747B4"/>
    <w:rsid w:val="001750D3"/>
    <w:rsid w:val="00176CA8"/>
    <w:rsid w:val="00184C5A"/>
    <w:rsid w:val="00186FF0"/>
    <w:rsid w:val="0019060A"/>
    <w:rsid w:val="0019108E"/>
    <w:rsid w:val="001957C1"/>
    <w:rsid w:val="00195F9C"/>
    <w:rsid w:val="00196FB8"/>
    <w:rsid w:val="001A1CCA"/>
    <w:rsid w:val="001A6763"/>
    <w:rsid w:val="001A6975"/>
    <w:rsid w:val="001B04AA"/>
    <w:rsid w:val="001B1DEE"/>
    <w:rsid w:val="001B5209"/>
    <w:rsid w:val="001C1C14"/>
    <w:rsid w:val="001C2508"/>
    <w:rsid w:val="001C2FC5"/>
    <w:rsid w:val="001C355E"/>
    <w:rsid w:val="001C434B"/>
    <w:rsid w:val="001C4589"/>
    <w:rsid w:val="001C4AD2"/>
    <w:rsid w:val="001C75DE"/>
    <w:rsid w:val="001D22A6"/>
    <w:rsid w:val="001D2CF8"/>
    <w:rsid w:val="001D40B7"/>
    <w:rsid w:val="001D6AAE"/>
    <w:rsid w:val="001D740A"/>
    <w:rsid w:val="001E0E75"/>
    <w:rsid w:val="001F068B"/>
    <w:rsid w:val="001F12DA"/>
    <w:rsid w:val="001F1745"/>
    <w:rsid w:val="001F1B73"/>
    <w:rsid w:val="001F1E68"/>
    <w:rsid w:val="001F21D2"/>
    <w:rsid w:val="001F2A4F"/>
    <w:rsid w:val="001F4A90"/>
    <w:rsid w:val="00205E8F"/>
    <w:rsid w:val="00206927"/>
    <w:rsid w:val="00207C0F"/>
    <w:rsid w:val="0021176F"/>
    <w:rsid w:val="00213C2A"/>
    <w:rsid w:val="00216BA7"/>
    <w:rsid w:val="0022009E"/>
    <w:rsid w:val="00224198"/>
    <w:rsid w:val="00225CE2"/>
    <w:rsid w:val="00225DA4"/>
    <w:rsid w:val="00230EAB"/>
    <w:rsid w:val="00231704"/>
    <w:rsid w:val="00236B1A"/>
    <w:rsid w:val="00241077"/>
    <w:rsid w:val="00245E84"/>
    <w:rsid w:val="00247AAF"/>
    <w:rsid w:val="0025203A"/>
    <w:rsid w:val="00253A82"/>
    <w:rsid w:val="00254983"/>
    <w:rsid w:val="00254BA2"/>
    <w:rsid w:val="002551B2"/>
    <w:rsid w:val="002572EF"/>
    <w:rsid w:val="00263766"/>
    <w:rsid w:val="00264823"/>
    <w:rsid w:val="00264927"/>
    <w:rsid w:val="002654CC"/>
    <w:rsid w:val="0026682F"/>
    <w:rsid w:val="0026721E"/>
    <w:rsid w:val="00270F47"/>
    <w:rsid w:val="002728B6"/>
    <w:rsid w:val="00274895"/>
    <w:rsid w:val="002757CA"/>
    <w:rsid w:val="00275C44"/>
    <w:rsid w:val="00276D29"/>
    <w:rsid w:val="002822E8"/>
    <w:rsid w:val="00295485"/>
    <w:rsid w:val="00295DD1"/>
    <w:rsid w:val="002A07B2"/>
    <w:rsid w:val="002A1FCF"/>
    <w:rsid w:val="002A5DEB"/>
    <w:rsid w:val="002A6139"/>
    <w:rsid w:val="002A662B"/>
    <w:rsid w:val="002B30BC"/>
    <w:rsid w:val="002C1AC6"/>
    <w:rsid w:val="002C2D3F"/>
    <w:rsid w:val="002C4639"/>
    <w:rsid w:val="002C5D18"/>
    <w:rsid w:val="002C652D"/>
    <w:rsid w:val="002C66C0"/>
    <w:rsid w:val="002D079D"/>
    <w:rsid w:val="002D2933"/>
    <w:rsid w:val="002E0070"/>
    <w:rsid w:val="002E295B"/>
    <w:rsid w:val="002E321E"/>
    <w:rsid w:val="002E7AC4"/>
    <w:rsid w:val="002F1A6F"/>
    <w:rsid w:val="002F37A7"/>
    <w:rsid w:val="002F42FD"/>
    <w:rsid w:val="002F48CB"/>
    <w:rsid w:val="0030126B"/>
    <w:rsid w:val="003015F2"/>
    <w:rsid w:val="0030252E"/>
    <w:rsid w:val="00303779"/>
    <w:rsid w:val="00303D8C"/>
    <w:rsid w:val="00306801"/>
    <w:rsid w:val="003139F0"/>
    <w:rsid w:val="00315A0C"/>
    <w:rsid w:val="00315D01"/>
    <w:rsid w:val="00317F5C"/>
    <w:rsid w:val="00320262"/>
    <w:rsid w:val="00321A39"/>
    <w:rsid w:val="0032263E"/>
    <w:rsid w:val="00325C4D"/>
    <w:rsid w:val="00327255"/>
    <w:rsid w:val="00330741"/>
    <w:rsid w:val="0033128A"/>
    <w:rsid w:val="00331512"/>
    <w:rsid w:val="00332BE7"/>
    <w:rsid w:val="00336CDA"/>
    <w:rsid w:val="00341489"/>
    <w:rsid w:val="003441BD"/>
    <w:rsid w:val="00345EF4"/>
    <w:rsid w:val="00351430"/>
    <w:rsid w:val="003559B1"/>
    <w:rsid w:val="003601CA"/>
    <w:rsid w:val="0036119E"/>
    <w:rsid w:val="00361FBA"/>
    <w:rsid w:val="00366611"/>
    <w:rsid w:val="00366B99"/>
    <w:rsid w:val="00367406"/>
    <w:rsid w:val="00370876"/>
    <w:rsid w:val="00372176"/>
    <w:rsid w:val="0037255E"/>
    <w:rsid w:val="00372706"/>
    <w:rsid w:val="00374201"/>
    <w:rsid w:val="00374345"/>
    <w:rsid w:val="0037786B"/>
    <w:rsid w:val="00380C86"/>
    <w:rsid w:val="00381C74"/>
    <w:rsid w:val="0038533E"/>
    <w:rsid w:val="003856C1"/>
    <w:rsid w:val="003875BD"/>
    <w:rsid w:val="00387DB1"/>
    <w:rsid w:val="00394227"/>
    <w:rsid w:val="00394F9B"/>
    <w:rsid w:val="00397D11"/>
    <w:rsid w:val="003A08F7"/>
    <w:rsid w:val="003A0B29"/>
    <w:rsid w:val="003A1014"/>
    <w:rsid w:val="003A2030"/>
    <w:rsid w:val="003A2188"/>
    <w:rsid w:val="003A2DC0"/>
    <w:rsid w:val="003A551F"/>
    <w:rsid w:val="003B261E"/>
    <w:rsid w:val="003B4468"/>
    <w:rsid w:val="003B663C"/>
    <w:rsid w:val="003C11B4"/>
    <w:rsid w:val="003C5862"/>
    <w:rsid w:val="003C5984"/>
    <w:rsid w:val="003C5FE1"/>
    <w:rsid w:val="003C7095"/>
    <w:rsid w:val="003D04A7"/>
    <w:rsid w:val="003D214F"/>
    <w:rsid w:val="003D2DA8"/>
    <w:rsid w:val="003E0622"/>
    <w:rsid w:val="003E202B"/>
    <w:rsid w:val="003E2EDB"/>
    <w:rsid w:val="003E4CDB"/>
    <w:rsid w:val="003E589B"/>
    <w:rsid w:val="003E5FE9"/>
    <w:rsid w:val="003F1BA0"/>
    <w:rsid w:val="003F2402"/>
    <w:rsid w:val="003F3961"/>
    <w:rsid w:val="003F71C3"/>
    <w:rsid w:val="00401A7A"/>
    <w:rsid w:val="00402F49"/>
    <w:rsid w:val="00407605"/>
    <w:rsid w:val="004111AF"/>
    <w:rsid w:val="004133B9"/>
    <w:rsid w:val="00420DBF"/>
    <w:rsid w:val="00423C9A"/>
    <w:rsid w:val="004257E8"/>
    <w:rsid w:val="00426265"/>
    <w:rsid w:val="0043193A"/>
    <w:rsid w:val="004319E1"/>
    <w:rsid w:val="00437B17"/>
    <w:rsid w:val="0044147D"/>
    <w:rsid w:val="00442EFA"/>
    <w:rsid w:val="0044347E"/>
    <w:rsid w:val="00444CAA"/>
    <w:rsid w:val="00455C90"/>
    <w:rsid w:val="00455E45"/>
    <w:rsid w:val="00456C09"/>
    <w:rsid w:val="00460727"/>
    <w:rsid w:val="00463D4A"/>
    <w:rsid w:val="00463E8D"/>
    <w:rsid w:val="00465249"/>
    <w:rsid w:val="004675B6"/>
    <w:rsid w:val="004705BC"/>
    <w:rsid w:val="004742CB"/>
    <w:rsid w:val="00480CA5"/>
    <w:rsid w:val="00482B77"/>
    <w:rsid w:val="0048376C"/>
    <w:rsid w:val="004842D0"/>
    <w:rsid w:val="00484738"/>
    <w:rsid w:val="004847AE"/>
    <w:rsid w:val="00484B76"/>
    <w:rsid w:val="00490816"/>
    <w:rsid w:val="004957AD"/>
    <w:rsid w:val="00496F52"/>
    <w:rsid w:val="004A0434"/>
    <w:rsid w:val="004A0C29"/>
    <w:rsid w:val="004A3D40"/>
    <w:rsid w:val="004A6979"/>
    <w:rsid w:val="004A75B4"/>
    <w:rsid w:val="004A79CD"/>
    <w:rsid w:val="004B370A"/>
    <w:rsid w:val="004B6A31"/>
    <w:rsid w:val="004B7224"/>
    <w:rsid w:val="004C3858"/>
    <w:rsid w:val="004C6B12"/>
    <w:rsid w:val="004C74CC"/>
    <w:rsid w:val="004D065F"/>
    <w:rsid w:val="004D0D3D"/>
    <w:rsid w:val="004D3AE3"/>
    <w:rsid w:val="004D4C49"/>
    <w:rsid w:val="004E042A"/>
    <w:rsid w:val="004E479E"/>
    <w:rsid w:val="004E4FD8"/>
    <w:rsid w:val="004F220C"/>
    <w:rsid w:val="004F2290"/>
    <w:rsid w:val="004F2893"/>
    <w:rsid w:val="004F3151"/>
    <w:rsid w:val="004F69BF"/>
    <w:rsid w:val="004F7081"/>
    <w:rsid w:val="004F72BF"/>
    <w:rsid w:val="004F7D5B"/>
    <w:rsid w:val="00500E15"/>
    <w:rsid w:val="00502FEC"/>
    <w:rsid w:val="005030C5"/>
    <w:rsid w:val="005036F2"/>
    <w:rsid w:val="00503A82"/>
    <w:rsid w:val="00505029"/>
    <w:rsid w:val="00506868"/>
    <w:rsid w:val="005072A8"/>
    <w:rsid w:val="00507E12"/>
    <w:rsid w:val="005130EE"/>
    <w:rsid w:val="00515348"/>
    <w:rsid w:val="00515958"/>
    <w:rsid w:val="00520300"/>
    <w:rsid w:val="005213E1"/>
    <w:rsid w:val="00522643"/>
    <w:rsid w:val="005226B8"/>
    <w:rsid w:val="00522736"/>
    <w:rsid w:val="005255FC"/>
    <w:rsid w:val="0052674E"/>
    <w:rsid w:val="0052678C"/>
    <w:rsid w:val="00526AAA"/>
    <w:rsid w:val="005271FF"/>
    <w:rsid w:val="0053217A"/>
    <w:rsid w:val="005339F7"/>
    <w:rsid w:val="00535880"/>
    <w:rsid w:val="00535F9C"/>
    <w:rsid w:val="00537BBB"/>
    <w:rsid w:val="00537DDD"/>
    <w:rsid w:val="005456F9"/>
    <w:rsid w:val="00550268"/>
    <w:rsid w:val="00550937"/>
    <w:rsid w:val="00553885"/>
    <w:rsid w:val="00553B16"/>
    <w:rsid w:val="005600DC"/>
    <w:rsid w:val="00560120"/>
    <w:rsid w:val="00560317"/>
    <w:rsid w:val="00560329"/>
    <w:rsid w:val="0056168D"/>
    <w:rsid w:val="00563721"/>
    <w:rsid w:val="00564249"/>
    <w:rsid w:val="00566200"/>
    <w:rsid w:val="00567F24"/>
    <w:rsid w:val="00570699"/>
    <w:rsid w:val="00570E47"/>
    <w:rsid w:val="00573765"/>
    <w:rsid w:val="00573950"/>
    <w:rsid w:val="00573F03"/>
    <w:rsid w:val="0057419A"/>
    <w:rsid w:val="00574A61"/>
    <w:rsid w:val="00577001"/>
    <w:rsid w:val="00580851"/>
    <w:rsid w:val="0058178D"/>
    <w:rsid w:val="00584413"/>
    <w:rsid w:val="00584D52"/>
    <w:rsid w:val="00591E1C"/>
    <w:rsid w:val="0059286D"/>
    <w:rsid w:val="00593417"/>
    <w:rsid w:val="0059470B"/>
    <w:rsid w:val="005947CC"/>
    <w:rsid w:val="005949A0"/>
    <w:rsid w:val="00594E24"/>
    <w:rsid w:val="005956C2"/>
    <w:rsid w:val="0059763B"/>
    <w:rsid w:val="005A2524"/>
    <w:rsid w:val="005A2761"/>
    <w:rsid w:val="005A3666"/>
    <w:rsid w:val="005A3D9E"/>
    <w:rsid w:val="005A517A"/>
    <w:rsid w:val="005A617C"/>
    <w:rsid w:val="005B58F6"/>
    <w:rsid w:val="005C6C3D"/>
    <w:rsid w:val="005D179A"/>
    <w:rsid w:val="005D332C"/>
    <w:rsid w:val="005D3CE3"/>
    <w:rsid w:val="005D47B4"/>
    <w:rsid w:val="005D5B4F"/>
    <w:rsid w:val="005E000E"/>
    <w:rsid w:val="005E1B4C"/>
    <w:rsid w:val="005E2AF7"/>
    <w:rsid w:val="005E5ACC"/>
    <w:rsid w:val="005E6B2B"/>
    <w:rsid w:val="005F35FE"/>
    <w:rsid w:val="005F3F99"/>
    <w:rsid w:val="005F69EC"/>
    <w:rsid w:val="005F7D50"/>
    <w:rsid w:val="005F7F73"/>
    <w:rsid w:val="00601069"/>
    <w:rsid w:val="006060D8"/>
    <w:rsid w:val="006065A3"/>
    <w:rsid w:val="006067CC"/>
    <w:rsid w:val="00610AB2"/>
    <w:rsid w:val="00612227"/>
    <w:rsid w:val="00615A56"/>
    <w:rsid w:val="0061601F"/>
    <w:rsid w:val="006228BA"/>
    <w:rsid w:val="0062405E"/>
    <w:rsid w:val="006240A6"/>
    <w:rsid w:val="00625036"/>
    <w:rsid w:val="0062660C"/>
    <w:rsid w:val="006266B9"/>
    <w:rsid w:val="00626B9A"/>
    <w:rsid w:val="00627B5C"/>
    <w:rsid w:val="006303A8"/>
    <w:rsid w:val="00632601"/>
    <w:rsid w:val="00633BDF"/>
    <w:rsid w:val="006354F9"/>
    <w:rsid w:val="0064095D"/>
    <w:rsid w:val="00643661"/>
    <w:rsid w:val="0065077C"/>
    <w:rsid w:val="00651DC7"/>
    <w:rsid w:val="006520C1"/>
    <w:rsid w:val="00653A05"/>
    <w:rsid w:val="0065427F"/>
    <w:rsid w:val="00661DD2"/>
    <w:rsid w:val="00661ED6"/>
    <w:rsid w:val="00661EEF"/>
    <w:rsid w:val="006633FB"/>
    <w:rsid w:val="00664C99"/>
    <w:rsid w:val="00665C8B"/>
    <w:rsid w:val="0066735A"/>
    <w:rsid w:val="006702C8"/>
    <w:rsid w:val="006708AB"/>
    <w:rsid w:val="00672B2E"/>
    <w:rsid w:val="00674735"/>
    <w:rsid w:val="00680B4E"/>
    <w:rsid w:val="00680B5E"/>
    <w:rsid w:val="00681072"/>
    <w:rsid w:val="006849E0"/>
    <w:rsid w:val="00686C70"/>
    <w:rsid w:val="00687E85"/>
    <w:rsid w:val="00691330"/>
    <w:rsid w:val="0069238D"/>
    <w:rsid w:val="00692962"/>
    <w:rsid w:val="00692C1F"/>
    <w:rsid w:val="0069328F"/>
    <w:rsid w:val="0069524F"/>
    <w:rsid w:val="00695A0C"/>
    <w:rsid w:val="00697359"/>
    <w:rsid w:val="006A351B"/>
    <w:rsid w:val="006A400F"/>
    <w:rsid w:val="006A613C"/>
    <w:rsid w:val="006B00C0"/>
    <w:rsid w:val="006B1AF3"/>
    <w:rsid w:val="006B3F84"/>
    <w:rsid w:val="006C1C06"/>
    <w:rsid w:val="006C1CD9"/>
    <w:rsid w:val="006C3F48"/>
    <w:rsid w:val="006C45F6"/>
    <w:rsid w:val="006C5ADF"/>
    <w:rsid w:val="006C7527"/>
    <w:rsid w:val="006D39F1"/>
    <w:rsid w:val="006E0CCD"/>
    <w:rsid w:val="006E4333"/>
    <w:rsid w:val="006E5ACA"/>
    <w:rsid w:val="006E5CEF"/>
    <w:rsid w:val="006E6F3A"/>
    <w:rsid w:val="006F107D"/>
    <w:rsid w:val="006F3F67"/>
    <w:rsid w:val="006F4130"/>
    <w:rsid w:val="006F51EB"/>
    <w:rsid w:val="0070609C"/>
    <w:rsid w:val="007067AA"/>
    <w:rsid w:val="00706F44"/>
    <w:rsid w:val="00707DCD"/>
    <w:rsid w:val="00711E3D"/>
    <w:rsid w:val="00711EF1"/>
    <w:rsid w:val="00714E6D"/>
    <w:rsid w:val="007161F5"/>
    <w:rsid w:val="00716F4F"/>
    <w:rsid w:val="007173FC"/>
    <w:rsid w:val="00720AD9"/>
    <w:rsid w:val="00723833"/>
    <w:rsid w:val="00723FA5"/>
    <w:rsid w:val="0072754E"/>
    <w:rsid w:val="007361B5"/>
    <w:rsid w:val="007423B0"/>
    <w:rsid w:val="007434AD"/>
    <w:rsid w:val="00743A13"/>
    <w:rsid w:val="007458F4"/>
    <w:rsid w:val="00745C96"/>
    <w:rsid w:val="00751F5F"/>
    <w:rsid w:val="00755A33"/>
    <w:rsid w:val="0075669B"/>
    <w:rsid w:val="00756DCF"/>
    <w:rsid w:val="007614CD"/>
    <w:rsid w:val="00762CA0"/>
    <w:rsid w:val="00764F0A"/>
    <w:rsid w:val="00771A99"/>
    <w:rsid w:val="0077616D"/>
    <w:rsid w:val="0077691E"/>
    <w:rsid w:val="007828AC"/>
    <w:rsid w:val="00782FA0"/>
    <w:rsid w:val="007843DD"/>
    <w:rsid w:val="0079047A"/>
    <w:rsid w:val="00791ABD"/>
    <w:rsid w:val="00792340"/>
    <w:rsid w:val="007926A6"/>
    <w:rsid w:val="00793D9D"/>
    <w:rsid w:val="007A098B"/>
    <w:rsid w:val="007A1F1F"/>
    <w:rsid w:val="007B1EDA"/>
    <w:rsid w:val="007B1F3F"/>
    <w:rsid w:val="007B28D2"/>
    <w:rsid w:val="007C319F"/>
    <w:rsid w:val="007C35FD"/>
    <w:rsid w:val="007C5AB5"/>
    <w:rsid w:val="007C63A4"/>
    <w:rsid w:val="007D1686"/>
    <w:rsid w:val="007D5D56"/>
    <w:rsid w:val="007D6EDF"/>
    <w:rsid w:val="007E2965"/>
    <w:rsid w:val="007E67CB"/>
    <w:rsid w:val="007E7424"/>
    <w:rsid w:val="007F1C1D"/>
    <w:rsid w:val="007F3DD1"/>
    <w:rsid w:val="007F5DEF"/>
    <w:rsid w:val="00800005"/>
    <w:rsid w:val="00802B15"/>
    <w:rsid w:val="0080442B"/>
    <w:rsid w:val="008072F1"/>
    <w:rsid w:val="0080745E"/>
    <w:rsid w:val="00813022"/>
    <w:rsid w:val="00820774"/>
    <w:rsid w:val="00821D92"/>
    <w:rsid w:val="00822AC0"/>
    <w:rsid w:val="0082331F"/>
    <w:rsid w:val="00823DE4"/>
    <w:rsid w:val="00826AB7"/>
    <w:rsid w:val="0083149D"/>
    <w:rsid w:val="00831D73"/>
    <w:rsid w:val="00833544"/>
    <w:rsid w:val="00835642"/>
    <w:rsid w:val="00835E25"/>
    <w:rsid w:val="00840017"/>
    <w:rsid w:val="00841E17"/>
    <w:rsid w:val="00844281"/>
    <w:rsid w:val="00846B91"/>
    <w:rsid w:val="00850939"/>
    <w:rsid w:val="00850D75"/>
    <w:rsid w:val="00851028"/>
    <w:rsid w:val="008524DE"/>
    <w:rsid w:val="008528C6"/>
    <w:rsid w:val="00857EA9"/>
    <w:rsid w:val="0086063E"/>
    <w:rsid w:val="0086097F"/>
    <w:rsid w:val="00862FAC"/>
    <w:rsid w:val="00864424"/>
    <w:rsid w:val="00867753"/>
    <w:rsid w:val="00867DDB"/>
    <w:rsid w:val="00871E1E"/>
    <w:rsid w:val="00873F06"/>
    <w:rsid w:val="0087439A"/>
    <w:rsid w:val="008743AF"/>
    <w:rsid w:val="008749B3"/>
    <w:rsid w:val="008818CB"/>
    <w:rsid w:val="008828ED"/>
    <w:rsid w:val="00884B12"/>
    <w:rsid w:val="00884C09"/>
    <w:rsid w:val="00884E47"/>
    <w:rsid w:val="008851EE"/>
    <w:rsid w:val="008856C4"/>
    <w:rsid w:val="0089042C"/>
    <w:rsid w:val="00892E27"/>
    <w:rsid w:val="008A17D3"/>
    <w:rsid w:val="008A1A1F"/>
    <w:rsid w:val="008A533F"/>
    <w:rsid w:val="008A780B"/>
    <w:rsid w:val="008B160B"/>
    <w:rsid w:val="008B5A06"/>
    <w:rsid w:val="008B64E3"/>
    <w:rsid w:val="008B7CDC"/>
    <w:rsid w:val="008C25C3"/>
    <w:rsid w:val="008C352D"/>
    <w:rsid w:val="008C6109"/>
    <w:rsid w:val="008C65C9"/>
    <w:rsid w:val="008D687E"/>
    <w:rsid w:val="008D6A5E"/>
    <w:rsid w:val="008D72D1"/>
    <w:rsid w:val="008E2179"/>
    <w:rsid w:val="008E21D4"/>
    <w:rsid w:val="008E35E7"/>
    <w:rsid w:val="008E6BEA"/>
    <w:rsid w:val="008F1CA3"/>
    <w:rsid w:val="008F3174"/>
    <w:rsid w:val="008F392D"/>
    <w:rsid w:val="008F5D60"/>
    <w:rsid w:val="008F789F"/>
    <w:rsid w:val="009004E5"/>
    <w:rsid w:val="00900512"/>
    <w:rsid w:val="00901E7A"/>
    <w:rsid w:val="009024B3"/>
    <w:rsid w:val="00902A75"/>
    <w:rsid w:val="00915A93"/>
    <w:rsid w:val="00922FBC"/>
    <w:rsid w:val="009301C9"/>
    <w:rsid w:val="00932A67"/>
    <w:rsid w:val="0093376D"/>
    <w:rsid w:val="009352F1"/>
    <w:rsid w:val="00936706"/>
    <w:rsid w:val="009401A6"/>
    <w:rsid w:val="00942C2E"/>
    <w:rsid w:val="00943520"/>
    <w:rsid w:val="00943F20"/>
    <w:rsid w:val="00945B34"/>
    <w:rsid w:val="00953178"/>
    <w:rsid w:val="009536D9"/>
    <w:rsid w:val="00953D45"/>
    <w:rsid w:val="00955879"/>
    <w:rsid w:val="00956878"/>
    <w:rsid w:val="00960C49"/>
    <w:rsid w:val="00964709"/>
    <w:rsid w:val="00973CD3"/>
    <w:rsid w:val="00974B81"/>
    <w:rsid w:val="00975167"/>
    <w:rsid w:val="00975ACF"/>
    <w:rsid w:val="009775F9"/>
    <w:rsid w:val="00981BED"/>
    <w:rsid w:val="00981CCA"/>
    <w:rsid w:val="00983808"/>
    <w:rsid w:val="00984040"/>
    <w:rsid w:val="00984120"/>
    <w:rsid w:val="0098418D"/>
    <w:rsid w:val="00990417"/>
    <w:rsid w:val="0099209A"/>
    <w:rsid w:val="009931DC"/>
    <w:rsid w:val="009931E9"/>
    <w:rsid w:val="0099415A"/>
    <w:rsid w:val="00994649"/>
    <w:rsid w:val="0099764E"/>
    <w:rsid w:val="009A5753"/>
    <w:rsid w:val="009A5DB1"/>
    <w:rsid w:val="009B323D"/>
    <w:rsid w:val="009B5F02"/>
    <w:rsid w:val="009C0CB2"/>
    <w:rsid w:val="009C0F3E"/>
    <w:rsid w:val="009C419A"/>
    <w:rsid w:val="009C4A7E"/>
    <w:rsid w:val="009C58FD"/>
    <w:rsid w:val="009C7EF7"/>
    <w:rsid w:val="009D1EB9"/>
    <w:rsid w:val="009D2F83"/>
    <w:rsid w:val="009D644E"/>
    <w:rsid w:val="009D723F"/>
    <w:rsid w:val="009E0EE0"/>
    <w:rsid w:val="009F01AD"/>
    <w:rsid w:val="009F41A9"/>
    <w:rsid w:val="009F4987"/>
    <w:rsid w:val="009F5522"/>
    <w:rsid w:val="009F56B8"/>
    <w:rsid w:val="00A00E54"/>
    <w:rsid w:val="00A04D82"/>
    <w:rsid w:val="00A05AC4"/>
    <w:rsid w:val="00A0787D"/>
    <w:rsid w:val="00A13F59"/>
    <w:rsid w:val="00A16133"/>
    <w:rsid w:val="00A16EEF"/>
    <w:rsid w:val="00A211BD"/>
    <w:rsid w:val="00A2120A"/>
    <w:rsid w:val="00A21F4C"/>
    <w:rsid w:val="00A22296"/>
    <w:rsid w:val="00A238DC"/>
    <w:rsid w:val="00A251E6"/>
    <w:rsid w:val="00A257DE"/>
    <w:rsid w:val="00A3358B"/>
    <w:rsid w:val="00A35DA0"/>
    <w:rsid w:val="00A36476"/>
    <w:rsid w:val="00A37AED"/>
    <w:rsid w:val="00A37F99"/>
    <w:rsid w:val="00A40304"/>
    <w:rsid w:val="00A41B3E"/>
    <w:rsid w:val="00A41D49"/>
    <w:rsid w:val="00A439E6"/>
    <w:rsid w:val="00A4605F"/>
    <w:rsid w:val="00A4675F"/>
    <w:rsid w:val="00A47F46"/>
    <w:rsid w:val="00A5065D"/>
    <w:rsid w:val="00A508B5"/>
    <w:rsid w:val="00A54FA5"/>
    <w:rsid w:val="00A557E5"/>
    <w:rsid w:val="00A55AD6"/>
    <w:rsid w:val="00A56604"/>
    <w:rsid w:val="00A56A1C"/>
    <w:rsid w:val="00A5705A"/>
    <w:rsid w:val="00A57836"/>
    <w:rsid w:val="00A670EC"/>
    <w:rsid w:val="00A71EC4"/>
    <w:rsid w:val="00A728E8"/>
    <w:rsid w:val="00A74B06"/>
    <w:rsid w:val="00A76492"/>
    <w:rsid w:val="00A767C8"/>
    <w:rsid w:val="00A80D68"/>
    <w:rsid w:val="00A827C1"/>
    <w:rsid w:val="00A82D04"/>
    <w:rsid w:val="00A83BE2"/>
    <w:rsid w:val="00A85647"/>
    <w:rsid w:val="00A867AF"/>
    <w:rsid w:val="00A91E74"/>
    <w:rsid w:val="00A94C5B"/>
    <w:rsid w:val="00A95ED9"/>
    <w:rsid w:val="00AA08CF"/>
    <w:rsid w:val="00AA3414"/>
    <w:rsid w:val="00AA3F58"/>
    <w:rsid w:val="00AA42BA"/>
    <w:rsid w:val="00AA7A50"/>
    <w:rsid w:val="00AB24E3"/>
    <w:rsid w:val="00AB264F"/>
    <w:rsid w:val="00AB3A96"/>
    <w:rsid w:val="00AB41B5"/>
    <w:rsid w:val="00AB4B16"/>
    <w:rsid w:val="00AB5A35"/>
    <w:rsid w:val="00AC0E39"/>
    <w:rsid w:val="00AC13AF"/>
    <w:rsid w:val="00AC3BF7"/>
    <w:rsid w:val="00AC558D"/>
    <w:rsid w:val="00AD1410"/>
    <w:rsid w:val="00AD354E"/>
    <w:rsid w:val="00AD542A"/>
    <w:rsid w:val="00AD73B8"/>
    <w:rsid w:val="00AE52C8"/>
    <w:rsid w:val="00AE6715"/>
    <w:rsid w:val="00AE79D0"/>
    <w:rsid w:val="00AF072E"/>
    <w:rsid w:val="00AF0978"/>
    <w:rsid w:val="00AF4296"/>
    <w:rsid w:val="00AF7FE8"/>
    <w:rsid w:val="00B00D3D"/>
    <w:rsid w:val="00B02277"/>
    <w:rsid w:val="00B02ACD"/>
    <w:rsid w:val="00B02E0B"/>
    <w:rsid w:val="00B0385D"/>
    <w:rsid w:val="00B06AF0"/>
    <w:rsid w:val="00B07462"/>
    <w:rsid w:val="00B07C5B"/>
    <w:rsid w:val="00B109C9"/>
    <w:rsid w:val="00B13396"/>
    <w:rsid w:val="00B14E43"/>
    <w:rsid w:val="00B151F8"/>
    <w:rsid w:val="00B154F4"/>
    <w:rsid w:val="00B155B9"/>
    <w:rsid w:val="00B15EAB"/>
    <w:rsid w:val="00B20C5F"/>
    <w:rsid w:val="00B22A94"/>
    <w:rsid w:val="00B22C3B"/>
    <w:rsid w:val="00B24766"/>
    <w:rsid w:val="00B26479"/>
    <w:rsid w:val="00B264CE"/>
    <w:rsid w:val="00B27DC3"/>
    <w:rsid w:val="00B34245"/>
    <w:rsid w:val="00B3460E"/>
    <w:rsid w:val="00B357DE"/>
    <w:rsid w:val="00B35E3E"/>
    <w:rsid w:val="00B37D2D"/>
    <w:rsid w:val="00B41BFF"/>
    <w:rsid w:val="00B43E89"/>
    <w:rsid w:val="00B44945"/>
    <w:rsid w:val="00B476D3"/>
    <w:rsid w:val="00B47A08"/>
    <w:rsid w:val="00B500AF"/>
    <w:rsid w:val="00B506DD"/>
    <w:rsid w:val="00B5097A"/>
    <w:rsid w:val="00B51C01"/>
    <w:rsid w:val="00B52FB1"/>
    <w:rsid w:val="00B5301C"/>
    <w:rsid w:val="00B530CB"/>
    <w:rsid w:val="00B53F60"/>
    <w:rsid w:val="00B54594"/>
    <w:rsid w:val="00B56650"/>
    <w:rsid w:val="00B5780A"/>
    <w:rsid w:val="00B60B66"/>
    <w:rsid w:val="00B6178C"/>
    <w:rsid w:val="00B65BEF"/>
    <w:rsid w:val="00B677F3"/>
    <w:rsid w:val="00B71820"/>
    <w:rsid w:val="00B7673C"/>
    <w:rsid w:val="00B76E34"/>
    <w:rsid w:val="00B77037"/>
    <w:rsid w:val="00B81791"/>
    <w:rsid w:val="00B83461"/>
    <w:rsid w:val="00B83C7A"/>
    <w:rsid w:val="00B84291"/>
    <w:rsid w:val="00B86E75"/>
    <w:rsid w:val="00B8757C"/>
    <w:rsid w:val="00B955A2"/>
    <w:rsid w:val="00B970E2"/>
    <w:rsid w:val="00BA0147"/>
    <w:rsid w:val="00BA4509"/>
    <w:rsid w:val="00BB1C85"/>
    <w:rsid w:val="00BB2765"/>
    <w:rsid w:val="00BB4DDB"/>
    <w:rsid w:val="00BB54EA"/>
    <w:rsid w:val="00BB5834"/>
    <w:rsid w:val="00BC07F5"/>
    <w:rsid w:val="00BC1AA0"/>
    <w:rsid w:val="00BC23BD"/>
    <w:rsid w:val="00BC4580"/>
    <w:rsid w:val="00BC6A95"/>
    <w:rsid w:val="00BC75DC"/>
    <w:rsid w:val="00BC7745"/>
    <w:rsid w:val="00BD4D46"/>
    <w:rsid w:val="00BD7E7D"/>
    <w:rsid w:val="00BE107A"/>
    <w:rsid w:val="00BE1596"/>
    <w:rsid w:val="00BE1CE3"/>
    <w:rsid w:val="00BE2A1A"/>
    <w:rsid w:val="00BE3B1B"/>
    <w:rsid w:val="00BE460C"/>
    <w:rsid w:val="00BE587D"/>
    <w:rsid w:val="00BE6379"/>
    <w:rsid w:val="00BF14E6"/>
    <w:rsid w:val="00BF22D3"/>
    <w:rsid w:val="00BF40C4"/>
    <w:rsid w:val="00BF46BE"/>
    <w:rsid w:val="00BF6006"/>
    <w:rsid w:val="00C0153D"/>
    <w:rsid w:val="00C01584"/>
    <w:rsid w:val="00C0169D"/>
    <w:rsid w:val="00C01F28"/>
    <w:rsid w:val="00C035C2"/>
    <w:rsid w:val="00C0445B"/>
    <w:rsid w:val="00C0517B"/>
    <w:rsid w:val="00C05FB2"/>
    <w:rsid w:val="00C0620A"/>
    <w:rsid w:val="00C073A8"/>
    <w:rsid w:val="00C10FDC"/>
    <w:rsid w:val="00C1145D"/>
    <w:rsid w:val="00C1272B"/>
    <w:rsid w:val="00C13744"/>
    <w:rsid w:val="00C17BD7"/>
    <w:rsid w:val="00C238F9"/>
    <w:rsid w:val="00C243C4"/>
    <w:rsid w:val="00C304C1"/>
    <w:rsid w:val="00C32CCB"/>
    <w:rsid w:val="00C34C09"/>
    <w:rsid w:val="00C35441"/>
    <w:rsid w:val="00C35669"/>
    <w:rsid w:val="00C36AFF"/>
    <w:rsid w:val="00C41EB1"/>
    <w:rsid w:val="00C42498"/>
    <w:rsid w:val="00C43D4F"/>
    <w:rsid w:val="00C445E8"/>
    <w:rsid w:val="00C45A78"/>
    <w:rsid w:val="00C46592"/>
    <w:rsid w:val="00C515C8"/>
    <w:rsid w:val="00C52218"/>
    <w:rsid w:val="00C57330"/>
    <w:rsid w:val="00C600D6"/>
    <w:rsid w:val="00C60C65"/>
    <w:rsid w:val="00C612FF"/>
    <w:rsid w:val="00C64997"/>
    <w:rsid w:val="00C6530D"/>
    <w:rsid w:val="00C65D38"/>
    <w:rsid w:val="00C717C0"/>
    <w:rsid w:val="00C72027"/>
    <w:rsid w:val="00C725CB"/>
    <w:rsid w:val="00C73433"/>
    <w:rsid w:val="00C758CF"/>
    <w:rsid w:val="00C77F87"/>
    <w:rsid w:val="00C82300"/>
    <w:rsid w:val="00C83F46"/>
    <w:rsid w:val="00C87AFD"/>
    <w:rsid w:val="00C9208C"/>
    <w:rsid w:val="00C92724"/>
    <w:rsid w:val="00CA1610"/>
    <w:rsid w:val="00CA30CD"/>
    <w:rsid w:val="00CA3BB9"/>
    <w:rsid w:val="00CA3FAA"/>
    <w:rsid w:val="00CA4F26"/>
    <w:rsid w:val="00CA73B5"/>
    <w:rsid w:val="00CB02D9"/>
    <w:rsid w:val="00CB1579"/>
    <w:rsid w:val="00CB17C2"/>
    <w:rsid w:val="00CB2C70"/>
    <w:rsid w:val="00CB68F3"/>
    <w:rsid w:val="00CC036A"/>
    <w:rsid w:val="00CC0E7C"/>
    <w:rsid w:val="00CC119D"/>
    <w:rsid w:val="00CC3945"/>
    <w:rsid w:val="00CC3CBA"/>
    <w:rsid w:val="00CC490B"/>
    <w:rsid w:val="00CD2036"/>
    <w:rsid w:val="00CD2D10"/>
    <w:rsid w:val="00CD3602"/>
    <w:rsid w:val="00CD6800"/>
    <w:rsid w:val="00CD7886"/>
    <w:rsid w:val="00CD78E9"/>
    <w:rsid w:val="00CE05C8"/>
    <w:rsid w:val="00CE1854"/>
    <w:rsid w:val="00CE30F2"/>
    <w:rsid w:val="00CE47C7"/>
    <w:rsid w:val="00CE48C0"/>
    <w:rsid w:val="00CE5F1D"/>
    <w:rsid w:val="00CE61A0"/>
    <w:rsid w:val="00CF3901"/>
    <w:rsid w:val="00CF6B74"/>
    <w:rsid w:val="00CF7736"/>
    <w:rsid w:val="00CF7907"/>
    <w:rsid w:val="00D014B0"/>
    <w:rsid w:val="00D028DD"/>
    <w:rsid w:val="00D02BE5"/>
    <w:rsid w:val="00D03342"/>
    <w:rsid w:val="00D105A9"/>
    <w:rsid w:val="00D10DB7"/>
    <w:rsid w:val="00D124AE"/>
    <w:rsid w:val="00D1349C"/>
    <w:rsid w:val="00D21066"/>
    <w:rsid w:val="00D23BF5"/>
    <w:rsid w:val="00D26590"/>
    <w:rsid w:val="00D26F69"/>
    <w:rsid w:val="00D2785B"/>
    <w:rsid w:val="00D3185D"/>
    <w:rsid w:val="00D3233B"/>
    <w:rsid w:val="00D33836"/>
    <w:rsid w:val="00D34D48"/>
    <w:rsid w:val="00D352F6"/>
    <w:rsid w:val="00D37841"/>
    <w:rsid w:val="00D40A54"/>
    <w:rsid w:val="00D40C22"/>
    <w:rsid w:val="00D43381"/>
    <w:rsid w:val="00D466B1"/>
    <w:rsid w:val="00D4734B"/>
    <w:rsid w:val="00D516D5"/>
    <w:rsid w:val="00D51C7F"/>
    <w:rsid w:val="00D55AA4"/>
    <w:rsid w:val="00D63E51"/>
    <w:rsid w:val="00D7021A"/>
    <w:rsid w:val="00D734E7"/>
    <w:rsid w:val="00D76F31"/>
    <w:rsid w:val="00D77A1E"/>
    <w:rsid w:val="00D80FC3"/>
    <w:rsid w:val="00D823B2"/>
    <w:rsid w:val="00D824FE"/>
    <w:rsid w:val="00D8515E"/>
    <w:rsid w:val="00D87C6E"/>
    <w:rsid w:val="00D92442"/>
    <w:rsid w:val="00D92510"/>
    <w:rsid w:val="00D92C80"/>
    <w:rsid w:val="00D955DC"/>
    <w:rsid w:val="00D95E35"/>
    <w:rsid w:val="00DA07F9"/>
    <w:rsid w:val="00DA15E0"/>
    <w:rsid w:val="00DA18E4"/>
    <w:rsid w:val="00DA4BDF"/>
    <w:rsid w:val="00DA5AB6"/>
    <w:rsid w:val="00DA6EA8"/>
    <w:rsid w:val="00DA6FBD"/>
    <w:rsid w:val="00DB0BCB"/>
    <w:rsid w:val="00DB1758"/>
    <w:rsid w:val="00DB6206"/>
    <w:rsid w:val="00DB6FCF"/>
    <w:rsid w:val="00DC0649"/>
    <w:rsid w:val="00DC5693"/>
    <w:rsid w:val="00DC71A6"/>
    <w:rsid w:val="00DD052D"/>
    <w:rsid w:val="00DD5E12"/>
    <w:rsid w:val="00DD6A94"/>
    <w:rsid w:val="00DE0AC1"/>
    <w:rsid w:val="00DE0DF9"/>
    <w:rsid w:val="00DE4AEA"/>
    <w:rsid w:val="00DE71D8"/>
    <w:rsid w:val="00DE79DD"/>
    <w:rsid w:val="00DF0288"/>
    <w:rsid w:val="00DF2CE5"/>
    <w:rsid w:val="00DF35B6"/>
    <w:rsid w:val="00DF57AB"/>
    <w:rsid w:val="00DF6FF1"/>
    <w:rsid w:val="00E03830"/>
    <w:rsid w:val="00E07EED"/>
    <w:rsid w:val="00E138DA"/>
    <w:rsid w:val="00E14544"/>
    <w:rsid w:val="00E16DB4"/>
    <w:rsid w:val="00E235C9"/>
    <w:rsid w:val="00E26047"/>
    <w:rsid w:val="00E263F3"/>
    <w:rsid w:val="00E2792F"/>
    <w:rsid w:val="00E308B1"/>
    <w:rsid w:val="00E32999"/>
    <w:rsid w:val="00E34299"/>
    <w:rsid w:val="00E34655"/>
    <w:rsid w:val="00E44B09"/>
    <w:rsid w:val="00E44D82"/>
    <w:rsid w:val="00E458DC"/>
    <w:rsid w:val="00E466AC"/>
    <w:rsid w:val="00E46C68"/>
    <w:rsid w:val="00E4780D"/>
    <w:rsid w:val="00E47BF9"/>
    <w:rsid w:val="00E5154E"/>
    <w:rsid w:val="00E515FA"/>
    <w:rsid w:val="00E52310"/>
    <w:rsid w:val="00E525C8"/>
    <w:rsid w:val="00E53883"/>
    <w:rsid w:val="00E552D5"/>
    <w:rsid w:val="00E558F6"/>
    <w:rsid w:val="00E56491"/>
    <w:rsid w:val="00E5799C"/>
    <w:rsid w:val="00E615E1"/>
    <w:rsid w:val="00E6350A"/>
    <w:rsid w:val="00E63860"/>
    <w:rsid w:val="00E64216"/>
    <w:rsid w:val="00E666F4"/>
    <w:rsid w:val="00E7024F"/>
    <w:rsid w:val="00E71520"/>
    <w:rsid w:val="00E77520"/>
    <w:rsid w:val="00E82C4F"/>
    <w:rsid w:val="00E82DCC"/>
    <w:rsid w:val="00E85BF3"/>
    <w:rsid w:val="00E90683"/>
    <w:rsid w:val="00E90866"/>
    <w:rsid w:val="00E926F3"/>
    <w:rsid w:val="00E93252"/>
    <w:rsid w:val="00EA3113"/>
    <w:rsid w:val="00EA65B8"/>
    <w:rsid w:val="00EA6BDF"/>
    <w:rsid w:val="00EB2A31"/>
    <w:rsid w:val="00EB3268"/>
    <w:rsid w:val="00EB3D96"/>
    <w:rsid w:val="00EB4EF9"/>
    <w:rsid w:val="00EB55D1"/>
    <w:rsid w:val="00EC246D"/>
    <w:rsid w:val="00EC48B7"/>
    <w:rsid w:val="00EC4B2C"/>
    <w:rsid w:val="00EC575E"/>
    <w:rsid w:val="00EC628D"/>
    <w:rsid w:val="00ED0E68"/>
    <w:rsid w:val="00ED128B"/>
    <w:rsid w:val="00ED2284"/>
    <w:rsid w:val="00ED6F20"/>
    <w:rsid w:val="00EE04B2"/>
    <w:rsid w:val="00EE05C1"/>
    <w:rsid w:val="00EE207F"/>
    <w:rsid w:val="00EE6347"/>
    <w:rsid w:val="00EE6EB8"/>
    <w:rsid w:val="00EF2445"/>
    <w:rsid w:val="00EF2AB0"/>
    <w:rsid w:val="00EF357A"/>
    <w:rsid w:val="00EF6609"/>
    <w:rsid w:val="00EF7ACB"/>
    <w:rsid w:val="00F00A40"/>
    <w:rsid w:val="00F04E61"/>
    <w:rsid w:val="00F06211"/>
    <w:rsid w:val="00F119F7"/>
    <w:rsid w:val="00F13970"/>
    <w:rsid w:val="00F162FE"/>
    <w:rsid w:val="00F17D59"/>
    <w:rsid w:val="00F202AB"/>
    <w:rsid w:val="00F25B7A"/>
    <w:rsid w:val="00F25D81"/>
    <w:rsid w:val="00F3098B"/>
    <w:rsid w:val="00F309DC"/>
    <w:rsid w:val="00F33315"/>
    <w:rsid w:val="00F34877"/>
    <w:rsid w:val="00F36E05"/>
    <w:rsid w:val="00F3799D"/>
    <w:rsid w:val="00F4442D"/>
    <w:rsid w:val="00F44C85"/>
    <w:rsid w:val="00F47AEE"/>
    <w:rsid w:val="00F5042E"/>
    <w:rsid w:val="00F52771"/>
    <w:rsid w:val="00F5555E"/>
    <w:rsid w:val="00F5712C"/>
    <w:rsid w:val="00F5771D"/>
    <w:rsid w:val="00F605DF"/>
    <w:rsid w:val="00F6263A"/>
    <w:rsid w:val="00F6268F"/>
    <w:rsid w:val="00F63573"/>
    <w:rsid w:val="00F63A99"/>
    <w:rsid w:val="00F65216"/>
    <w:rsid w:val="00F653EE"/>
    <w:rsid w:val="00F6564B"/>
    <w:rsid w:val="00F7120C"/>
    <w:rsid w:val="00F712D1"/>
    <w:rsid w:val="00F7548C"/>
    <w:rsid w:val="00F75FB6"/>
    <w:rsid w:val="00F76C1B"/>
    <w:rsid w:val="00F76F1B"/>
    <w:rsid w:val="00F8030B"/>
    <w:rsid w:val="00F817D4"/>
    <w:rsid w:val="00F8192C"/>
    <w:rsid w:val="00F82B7E"/>
    <w:rsid w:val="00F82BBE"/>
    <w:rsid w:val="00F84472"/>
    <w:rsid w:val="00F85DA6"/>
    <w:rsid w:val="00F90AA8"/>
    <w:rsid w:val="00F92B53"/>
    <w:rsid w:val="00F93921"/>
    <w:rsid w:val="00F945FC"/>
    <w:rsid w:val="00F95EFE"/>
    <w:rsid w:val="00F96605"/>
    <w:rsid w:val="00F9772E"/>
    <w:rsid w:val="00FA0222"/>
    <w:rsid w:val="00FA1C2C"/>
    <w:rsid w:val="00FA44CD"/>
    <w:rsid w:val="00FA47E8"/>
    <w:rsid w:val="00FA53F7"/>
    <w:rsid w:val="00FB0EEC"/>
    <w:rsid w:val="00FB364B"/>
    <w:rsid w:val="00FB54CD"/>
    <w:rsid w:val="00FB63EC"/>
    <w:rsid w:val="00FB64EF"/>
    <w:rsid w:val="00FC43DB"/>
    <w:rsid w:val="00FC5310"/>
    <w:rsid w:val="00FC6664"/>
    <w:rsid w:val="00FC79D3"/>
    <w:rsid w:val="00FD51A0"/>
    <w:rsid w:val="00FD70AB"/>
    <w:rsid w:val="00FE1D17"/>
    <w:rsid w:val="00FE2110"/>
    <w:rsid w:val="00FF097C"/>
    <w:rsid w:val="00FF0F89"/>
    <w:rsid w:val="00FF3743"/>
    <w:rsid w:val="00FF45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1E"/>
    <w:pPr>
      <w:widowControl w:val="0"/>
      <w:ind w:firstLine="641"/>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80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B5780A"/>
    <w:rPr>
      <w:sz w:val="18"/>
      <w:szCs w:val="18"/>
    </w:rPr>
  </w:style>
  <w:style w:type="paragraph" w:styleId="a4">
    <w:name w:val="footer"/>
    <w:basedOn w:val="a"/>
    <w:link w:val="Char0"/>
    <w:uiPriority w:val="99"/>
    <w:unhideWhenUsed/>
    <w:rsid w:val="00B5780A"/>
    <w:pPr>
      <w:tabs>
        <w:tab w:val="center" w:pos="4153"/>
        <w:tab w:val="right" w:pos="8306"/>
      </w:tabs>
      <w:snapToGrid w:val="0"/>
    </w:pPr>
    <w:rPr>
      <w:kern w:val="0"/>
      <w:sz w:val="18"/>
      <w:szCs w:val="18"/>
    </w:rPr>
  </w:style>
  <w:style w:type="character" w:customStyle="1" w:styleId="Char0">
    <w:name w:val="页脚 Char"/>
    <w:link w:val="a4"/>
    <w:uiPriority w:val="99"/>
    <w:rsid w:val="00B5780A"/>
    <w:rPr>
      <w:sz w:val="18"/>
      <w:szCs w:val="18"/>
    </w:rPr>
  </w:style>
  <w:style w:type="paragraph" w:styleId="a5">
    <w:name w:val="Balloon Text"/>
    <w:basedOn w:val="a"/>
    <w:link w:val="Char1"/>
    <w:uiPriority w:val="99"/>
    <w:semiHidden/>
    <w:unhideWhenUsed/>
    <w:rsid w:val="00B5780A"/>
    <w:rPr>
      <w:kern w:val="0"/>
      <w:sz w:val="18"/>
      <w:szCs w:val="18"/>
    </w:rPr>
  </w:style>
  <w:style w:type="character" w:customStyle="1" w:styleId="Char1">
    <w:name w:val="批注框文本 Char"/>
    <w:link w:val="a5"/>
    <w:uiPriority w:val="99"/>
    <w:semiHidden/>
    <w:rsid w:val="00B5780A"/>
    <w:rPr>
      <w:sz w:val="18"/>
      <w:szCs w:val="18"/>
    </w:rPr>
  </w:style>
  <w:style w:type="paragraph" w:customStyle="1" w:styleId="1">
    <w:name w:val="样式1"/>
    <w:basedOn w:val="a3"/>
    <w:link w:val="1Char"/>
    <w:qFormat/>
    <w:rsid w:val="00B5780A"/>
    <w:pPr>
      <w:pBdr>
        <w:bottom w:val="none" w:sz="0" w:space="0" w:color="auto"/>
      </w:pBdr>
    </w:pPr>
  </w:style>
  <w:style w:type="character" w:customStyle="1" w:styleId="1Char">
    <w:name w:val="样式1 Char"/>
    <w:basedOn w:val="Char"/>
    <w:link w:val="1"/>
    <w:rsid w:val="00B5780A"/>
    <w:rPr>
      <w:sz w:val="18"/>
      <w:szCs w:val="18"/>
    </w:rPr>
  </w:style>
  <w:style w:type="character" w:styleId="a6">
    <w:name w:val="Hyperlink"/>
    <w:rsid w:val="00A16EEF"/>
    <w:rPr>
      <w:color w:val="0000FF"/>
      <w:u w:val="single"/>
    </w:rPr>
  </w:style>
  <w:style w:type="paragraph" w:styleId="a7">
    <w:name w:val="Body Text"/>
    <w:basedOn w:val="a"/>
    <w:link w:val="Char2"/>
    <w:rsid w:val="00A16EEF"/>
    <w:pPr>
      <w:spacing w:after="120"/>
      <w:ind w:firstLine="0"/>
      <w:jc w:val="both"/>
    </w:pPr>
    <w:rPr>
      <w:rFonts w:ascii="Times New Roman" w:hAnsi="Times New Roman"/>
      <w:szCs w:val="24"/>
    </w:rPr>
  </w:style>
  <w:style w:type="character" w:customStyle="1" w:styleId="Char2">
    <w:name w:val="正文文本 Char"/>
    <w:link w:val="a7"/>
    <w:rsid w:val="00A16EEF"/>
    <w:rPr>
      <w:rFonts w:ascii="Times New Roman" w:hAnsi="Times New Roman"/>
      <w:kern w:val="2"/>
      <w:sz w:val="21"/>
      <w:szCs w:val="24"/>
    </w:rPr>
  </w:style>
  <w:style w:type="paragraph" w:customStyle="1" w:styleId="a8">
    <w:name w:val="内容"/>
    <w:basedOn w:val="a"/>
    <w:autoRedefine/>
    <w:rsid w:val="00CA73B5"/>
    <w:pPr>
      <w:tabs>
        <w:tab w:val="left" w:pos="1455"/>
      </w:tabs>
      <w:ind w:firstLine="0"/>
      <w:jc w:val="both"/>
    </w:pPr>
    <w:rPr>
      <w:rFonts w:ascii="黑体" w:eastAsia="黑体" w:hAnsi="黑体"/>
      <w:bCs/>
      <w:color w:val="000000"/>
      <w:szCs w:val="21"/>
    </w:rPr>
  </w:style>
  <w:style w:type="paragraph" w:customStyle="1" w:styleId="CharCharCharChar">
    <w:name w:val="Char Char Char Char"/>
    <w:basedOn w:val="a"/>
    <w:autoRedefine/>
    <w:rsid w:val="002F37A7"/>
    <w:pPr>
      <w:tabs>
        <w:tab w:val="num" w:pos="360"/>
      </w:tabs>
      <w:ind w:firstLine="0"/>
      <w:jc w:val="both"/>
    </w:pPr>
    <w:rPr>
      <w:rFonts w:ascii="Times New Roman" w:hAnsi="Times New Roman"/>
      <w:sz w:val="24"/>
      <w:szCs w:val="24"/>
    </w:rPr>
  </w:style>
  <w:style w:type="paragraph" w:styleId="a9">
    <w:name w:val="Revision"/>
    <w:hidden/>
    <w:uiPriority w:val="99"/>
    <w:semiHidden/>
    <w:rsid w:val="003139F0"/>
    <w:rPr>
      <w:kern w:val="2"/>
      <w:sz w:val="21"/>
      <w:szCs w:val="22"/>
    </w:rPr>
  </w:style>
  <w:style w:type="paragraph" w:styleId="aa">
    <w:name w:val="Date"/>
    <w:basedOn w:val="a"/>
    <w:next w:val="a"/>
    <w:link w:val="Char3"/>
    <w:uiPriority w:val="99"/>
    <w:semiHidden/>
    <w:unhideWhenUsed/>
    <w:rsid w:val="00B02ACD"/>
    <w:pPr>
      <w:ind w:leftChars="2500" w:left="100"/>
    </w:pPr>
  </w:style>
  <w:style w:type="character" w:customStyle="1" w:styleId="Char3">
    <w:name w:val="日期 Char"/>
    <w:link w:val="aa"/>
    <w:uiPriority w:val="99"/>
    <w:semiHidden/>
    <w:rsid w:val="00B02ACD"/>
    <w:rPr>
      <w:kern w:val="2"/>
      <w:sz w:val="21"/>
      <w:szCs w:val="22"/>
    </w:rPr>
  </w:style>
  <w:style w:type="character" w:styleId="ab">
    <w:name w:val="annotation reference"/>
    <w:uiPriority w:val="99"/>
    <w:semiHidden/>
    <w:unhideWhenUsed/>
    <w:rsid w:val="00823DE4"/>
    <w:rPr>
      <w:sz w:val="21"/>
      <w:szCs w:val="21"/>
    </w:rPr>
  </w:style>
  <w:style w:type="paragraph" w:styleId="ac">
    <w:name w:val="annotation text"/>
    <w:basedOn w:val="a"/>
    <w:link w:val="Char4"/>
    <w:uiPriority w:val="99"/>
    <w:semiHidden/>
    <w:unhideWhenUsed/>
    <w:rsid w:val="00823DE4"/>
  </w:style>
  <w:style w:type="character" w:customStyle="1" w:styleId="Char4">
    <w:name w:val="批注文字 Char"/>
    <w:link w:val="ac"/>
    <w:uiPriority w:val="99"/>
    <w:semiHidden/>
    <w:rsid w:val="00823DE4"/>
    <w:rPr>
      <w:kern w:val="2"/>
      <w:sz w:val="21"/>
      <w:szCs w:val="22"/>
    </w:rPr>
  </w:style>
  <w:style w:type="paragraph" w:styleId="ad">
    <w:name w:val="annotation subject"/>
    <w:basedOn w:val="ac"/>
    <w:next w:val="ac"/>
    <w:link w:val="Char5"/>
    <w:uiPriority w:val="99"/>
    <w:semiHidden/>
    <w:unhideWhenUsed/>
    <w:rsid w:val="00823DE4"/>
    <w:rPr>
      <w:b/>
      <w:bCs/>
    </w:rPr>
  </w:style>
  <w:style w:type="character" w:customStyle="1" w:styleId="Char5">
    <w:name w:val="批注主题 Char"/>
    <w:link w:val="ad"/>
    <w:uiPriority w:val="99"/>
    <w:semiHidden/>
    <w:rsid w:val="00823DE4"/>
    <w:rPr>
      <w:b/>
      <w:bCs/>
      <w:kern w:val="2"/>
      <w:sz w:val="21"/>
      <w:szCs w:val="22"/>
    </w:rPr>
  </w:style>
  <w:style w:type="paragraph" w:customStyle="1" w:styleId="Default">
    <w:name w:val="Default"/>
    <w:rsid w:val="005F3F99"/>
    <w:pPr>
      <w:widowControl w:val="0"/>
      <w:autoSpaceDE w:val="0"/>
      <w:autoSpaceDN w:val="0"/>
      <w:adjustRightInd w:val="0"/>
    </w:pPr>
    <w:rPr>
      <w:rFonts w:ascii="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1E"/>
    <w:pPr>
      <w:widowControl w:val="0"/>
      <w:ind w:firstLine="641"/>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80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B5780A"/>
    <w:rPr>
      <w:sz w:val="18"/>
      <w:szCs w:val="18"/>
    </w:rPr>
  </w:style>
  <w:style w:type="paragraph" w:styleId="a4">
    <w:name w:val="footer"/>
    <w:basedOn w:val="a"/>
    <w:link w:val="Char0"/>
    <w:uiPriority w:val="99"/>
    <w:unhideWhenUsed/>
    <w:rsid w:val="00B5780A"/>
    <w:pPr>
      <w:tabs>
        <w:tab w:val="center" w:pos="4153"/>
        <w:tab w:val="right" w:pos="8306"/>
      </w:tabs>
      <w:snapToGrid w:val="0"/>
    </w:pPr>
    <w:rPr>
      <w:kern w:val="0"/>
      <w:sz w:val="18"/>
      <w:szCs w:val="18"/>
    </w:rPr>
  </w:style>
  <w:style w:type="character" w:customStyle="1" w:styleId="Char0">
    <w:name w:val="页脚 Char"/>
    <w:link w:val="a4"/>
    <w:uiPriority w:val="99"/>
    <w:rsid w:val="00B5780A"/>
    <w:rPr>
      <w:sz w:val="18"/>
      <w:szCs w:val="18"/>
    </w:rPr>
  </w:style>
  <w:style w:type="paragraph" w:styleId="a5">
    <w:name w:val="Balloon Text"/>
    <w:basedOn w:val="a"/>
    <w:link w:val="Char1"/>
    <w:uiPriority w:val="99"/>
    <w:semiHidden/>
    <w:unhideWhenUsed/>
    <w:rsid w:val="00B5780A"/>
    <w:rPr>
      <w:kern w:val="0"/>
      <w:sz w:val="18"/>
      <w:szCs w:val="18"/>
    </w:rPr>
  </w:style>
  <w:style w:type="character" w:customStyle="1" w:styleId="Char1">
    <w:name w:val="批注框文本 Char"/>
    <w:link w:val="a5"/>
    <w:uiPriority w:val="99"/>
    <w:semiHidden/>
    <w:rsid w:val="00B5780A"/>
    <w:rPr>
      <w:sz w:val="18"/>
      <w:szCs w:val="18"/>
    </w:rPr>
  </w:style>
  <w:style w:type="paragraph" w:customStyle="1" w:styleId="1">
    <w:name w:val="样式1"/>
    <w:basedOn w:val="a3"/>
    <w:link w:val="1Char"/>
    <w:qFormat/>
    <w:rsid w:val="00B5780A"/>
    <w:pPr>
      <w:pBdr>
        <w:bottom w:val="none" w:sz="0" w:space="0" w:color="auto"/>
      </w:pBdr>
    </w:pPr>
  </w:style>
  <w:style w:type="character" w:customStyle="1" w:styleId="1Char">
    <w:name w:val="样式1 Char"/>
    <w:basedOn w:val="Char"/>
    <w:link w:val="1"/>
    <w:rsid w:val="00B5780A"/>
    <w:rPr>
      <w:sz w:val="18"/>
      <w:szCs w:val="18"/>
    </w:rPr>
  </w:style>
  <w:style w:type="character" w:styleId="a6">
    <w:name w:val="Hyperlink"/>
    <w:rsid w:val="00A16EEF"/>
    <w:rPr>
      <w:color w:val="0000FF"/>
      <w:u w:val="single"/>
    </w:rPr>
  </w:style>
  <w:style w:type="paragraph" w:styleId="a7">
    <w:name w:val="Body Text"/>
    <w:basedOn w:val="a"/>
    <w:link w:val="Char2"/>
    <w:rsid w:val="00A16EEF"/>
    <w:pPr>
      <w:spacing w:after="120"/>
      <w:ind w:firstLine="0"/>
      <w:jc w:val="both"/>
    </w:pPr>
    <w:rPr>
      <w:rFonts w:ascii="Times New Roman" w:hAnsi="Times New Roman"/>
      <w:szCs w:val="24"/>
    </w:rPr>
  </w:style>
  <w:style w:type="character" w:customStyle="1" w:styleId="Char2">
    <w:name w:val="正文文本 Char"/>
    <w:link w:val="a7"/>
    <w:rsid w:val="00A16EEF"/>
    <w:rPr>
      <w:rFonts w:ascii="Times New Roman" w:hAnsi="Times New Roman"/>
      <w:kern w:val="2"/>
      <w:sz w:val="21"/>
      <w:szCs w:val="24"/>
    </w:rPr>
  </w:style>
  <w:style w:type="paragraph" w:customStyle="1" w:styleId="a8">
    <w:name w:val="内容"/>
    <w:basedOn w:val="a"/>
    <w:autoRedefine/>
    <w:rsid w:val="00CA73B5"/>
    <w:pPr>
      <w:tabs>
        <w:tab w:val="left" w:pos="1455"/>
      </w:tabs>
      <w:ind w:firstLine="0"/>
      <w:jc w:val="both"/>
    </w:pPr>
    <w:rPr>
      <w:rFonts w:ascii="黑体" w:eastAsia="黑体" w:hAnsi="黑体"/>
      <w:bCs/>
      <w:color w:val="000000"/>
      <w:szCs w:val="21"/>
    </w:rPr>
  </w:style>
  <w:style w:type="paragraph" w:customStyle="1" w:styleId="CharCharCharChar">
    <w:name w:val="Char Char Char Char"/>
    <w:basedOn w:val="a"/>
    <w:autoRedefine/>
    <w:rsid w:val="002F37A7"/>
    <w:pPr>
      <w:tabs>
        <w:tab w:val="num" w:pos="360"/>
      </w:tabs>
      <w:ind w:firstLine="0"/>
      <w:jc w:val="both"/>
    </w:pPr>
    <w:rPr>
      <w:rFonts w:ascii="Times New Roman" w:hAnsi="Times New Roman"/>
      <w:sz w:val="24"/>
      <w:szCs w:val="24"/>
    </w:rPr>
  </w:style>
  <w:style w:type="paragraph" w:styleId="a9">
    <w:name w:val="Revision"/>
    <w:hidden/>
    <w:uiPriority w:val="99"/>
    <w:semiHidden/>
    <w:rsid w:val="003139F0"/>
    <w:rPr>
      <w:kern w:val="2"/>
      <w:sz w:val="21"/>
      <w:szCs w:val="22"/>
    </w:rPr>
  </w:style>
  <w:style w:type="paragraph" w:styleId="aa">
    <w:name w:val="Date"/>
    <w:basedOn w:val="a"/>
    <w:next w:val="a"/>
    <w:link w:val="Char3"/>
    <w:uiPriority w:val="99"/>
    <w:semiHidden/>
    <w:unhideWhenUsed/>
    <w:rsid w:val="00B02ACD"/>
    <w:pPr>
      <w:ind w:leftChars="2500" w:left="100"/>
    </w:pPr>
  </w:style>
  <w:style w:type="character" w:customStyle="1" w:styleId="Char3">
    <w:name w:val="日期 Char"/>
    <w:link w:val="aa"/>
    <w:uiPriority w:val="99"/>
    <w:semiHidden/>
    <w:rsid w:val="00B02ACD"/>
    <w:rPr>
      <w:kern w:val="2"/>
      <w:sz w:val="21"/>
      <w:szCs w:val="22"/>
    </w:rPr>
  </w:style>
  <w:style w:type="character" w:styleId="ab">
    <w:name w:val="annotation reference"/>
    <w:uiPriority w:val="99"/>
    <w:semiHidden/>
    <w:unhideWhenUsed/>
    <w:rsid w:val="00823DE4"/>
    <w:rPr>
      <w:sz w:val="21"/>
      <w:szCs w:val="21"/>
    </w:rPr>
  </w:style>
  <w:style w:type="paragraph" w:styleId="ac">
    <w:name w:val="annotation text"/>
    <w:basedOn w:val="a"/>
    <w:link w:val="Char4"/>
    <w:uiPriority w:val="99"/>
    <w:semiHidden/>
    <w:unhideWhenUsed/>
    <w:rsid w:val="00823DE4"/>
  </w:style>
  <w:style w:type="character" w:customStyle="1" w:styleId="Char4">
    <w:name w:val="批注文字 Char"/>
    <w:link w:val="ac"/>
    <w:uiPriority w:val="99"/>
    <w:semiHidden/>
    <w:rsid w:val="00823DE4"/>
    <w:rPr>
      <w:kern w:val="2"/>
      <w:sz w:val="21"/>
      <w:szCs w:val="22"/>
    </w:rPr>
  </w:style>
  <w:style w:type="paragraph" w:styleId="ad">
    <w:name w:val="annotation subject"/>
    <w:basedOn w:val="ac"/>
    <w:next w:val="ac"/>
    <w:link w:val="Char5"/>
    <w:uiPriority w:val="99"/>
    <w:semiHidden/>
    <w:unhideWhenUsed/>
    <w:rsid w:val="00823DE4"/>
    <w:rPr>
      <w:b/>
      <w:bCs/>
    </w:rPr>
  </w:style>
  <w:style w:type="character" w:customStyle="1" w:styleId="Char5">
    <w:name w:val="批注主题 Char"/>
    <w:link w:val="ad"/>
    <w:uiPriority w:val="99"/>
    <w:semiHidden/>
    <w:rsid w:val="00823DE4"/>
    <w:rPr>
      <w:b/>
      <w:bCs/>
      <w:kern w:val="2"/>
      <w:sz w:val="21"/>
      <w:szCs w:val="22"/>
    </w:rPr>
  </w:style>
  <w:style w:type="paragraph" w:customStyle="1" w:styleId="Default">
    <w:name w:val="Default"/>
    <w:rsid w:val="005F3F99"/>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21719263">
      <w:bodyDiv w:val="1"/>
      <w:marLeft w:val="0"/>
      <w:marRight w:val="0"/>
      <w:marTop w:val="0"/>
      <w:marBottom w:val="0"/>
      <w:divBdr>
        <w:top w:val="none" w:sz="0" w:space="0" w:color="auto"/>
        <w:left w:val="none" w:sz="0" w:space="0" w:color="auto"/>
        <w:bottom w:val="none" w:sz="0" w:space="0" w:color="auto"/>
        <w:right w:val="none" w:sz="0" w:space="0" w:color="auto"/>
      </w:divBdr>
    </w:div>
    <w:div w:id="496962164">
      <w:bodyDiv w:val="1"/>
      <w:marLeft w:val="0"/>
      <w:marRight w:val="0"/>
      <w:marTop w:val="0"/>
      <w:marBottom w:val="0"/>
      <w:divBdr>
        <w:top w:val="none" w:sz="0" w:space="0" w:color="auto"/>
        <w:left w:val="none" w:sz="0" w:space="0" w:color="auto"/>
        <w:bottom w:val="none" w:sz="0" w:space="0" w:color="auto"/>
        <w:right w:val="none" w:sz="0" w:space="0" w:color="auto"/>
      </w:divBdr>
    </w:div>
    <w:div w:id="524102174">
      <w:bodyDiv w:val="1"/>
      <w:marLeft w:val="0"/>
      <w:marRight w:val="0"/>
      <w:marTop w:val="0"/>
      <w:marBottom w:val="0"/>
      <w:divBdr>
        <w:top w:val="none" w:sz="0" w:space="0" w:color="auto"/>
        <w:left w:val="none" w:sz="0" w:space="0" w:color="auto"/>
        <w:bottom w:val="none" w:sz="0" w:space="0" w:color="auto"/>
        <w:right w:val="none" w:sz="0" w:space="0" w:color="auto"/>
      </w:divBdr>
    </w:div>
    <w:div w:id="980767655">
      <w:bodyDiv w:val="1"/>
      <w:marLeft w:val="0"/>
      <w:marRight w:val="0"/>
      <w:marTop w:val="0"/>
      <w:marBottom w:val="0"/>
      <w:divBdr>
        <w:top w:val="none" w:sz="0" w:space="0" w:color="auto"/>
        <w:left w:val="none" w:sz="0" w:space="0" w:color="auto"/>
        <w:bottom w:val="none" w:sz="0" w:space="0" w:color="auto"/>
        <w:right w:val="none" w:sz="0" w:space="0" w:color="auto"/>
      </w:divBdr>
    </w:div>
    <w:div w:id="1110975740">
      <w:bodyDiv w:val="1"/>
      <w:marLeft w:val="0"/>
      <w:marRight w:val="0"/>
      <w:marTop w:val="0"/>
      <w:marBottom w:val="0"/>
      <w:divBdr>
        <w:top w:val="none" w:sz="0" w:space="0" w:color="auto"/>
        <w:left w:val="none" w:sz="0" w:space="0" w:color="auto"/>
        <w:bottom w:val="none" w:sz="0" w:space="0" w:color="auto"/>
        <w:right w:val="none" w:sz="0" w:space="0" w:color="auto"/>
      </w:divBdr>
    </w:div>
    <w:div w:id="1113212883">
      <w:bodyDiv w:val="1"/>
      <w:marLeft w:val="0"/>
      <w:marRight w:val="0"/>
      <w:marTop w:val="0"/>
      <w:marBottom w:val="0"/>
      <w:divBdr>
        <w:top w:val="none" w:sz="0" w:space="0" w:color="auto"/>
        <w:left w:val="none" w:sz="0" w:space="0" w:color="auto"/>
        <w:bottom w:val="none" w:sz="0" w:space="0" w:color="auto"/>
        <w:right w:val="none" w:sz="0" w:space="0" w:color="auto"/>
      </w:divBdr>
    </w:div>
    <w:div w:id="1168788932">
      <w:bodyDiv w:val="1"/>
      <w:marLeft w:val="0"/>
      <w:marRight w:val="0"/>
      <w:marTop w:val="0"/>
      <w:marBottom w:val="0"/>
      <w:divBdr>
        <w:top w:val="none" w:sz="0" w:space="0" w:color="auto"/>
        <w:left w:val="none" w:sz="0" w:space="0" w:color="auto"/>
        <w:bottom w:val="none" w:sz="0" w:space="0" w:color="auto"/>
        <w:right w:val="none" w:sz="0" w:space="0" w:color="auto"/>
      </w:divBdr>
    </w:div>
    <w:div w:id="1299144388">
      <w:bodyDiv w:val="1"/>
      <w:marLeft w:val="0"/>
      <w:marRight w:val="0"/>
      <w:marTop w:val="0"/>
      <w:marBottom w:val="0"/>
      <w:divBdr>
        <w:top w:val="none" w:sz="0" w:space="0" w:color="auto"/>
        <w:left w:val="none" w:sz="0" w:space="0" w:color="auto"/>
        <w:bottom w:val="none" w:sz="0" w:space="0" w:color="auto"/>
        <w:right w:val="none" w:sz="0" w:space="0" w:color="auto"/>
      </w:divBdr>
    </w:div>
    <w:div w:id="1407340774">
      <w:bodyDiv w:val="1"/>
      <w:marLeft w:val="0"/>
      <w:marRight w:val="0"/>
      <w:marTop w:val="0"/>
      <w:marBottom w:val="0"/>
      <w:divBdr>
        <w:top w:val="none" w:sz="0" w:space="0" w:color="auto"/>
        <w:left w:val="none" w:sz="0" w:space="0" w:color="auto"/>
        <w:bottom w:val="none" w:sz="0" w:space="0" w:color="auto"/>
        <w:right w:val="none" w:sz="0" w:space="0" w:color="auto"/>
      </w:divBdr>
    </w:div>
    <w:div w:id="1438871319">
      <w:bodyDiv w:val="1"/>
      <w:marLeft w:val="0"/>
      <w:marRight w:val="0"/>
      <w:marTop w:val="0"/>
      <w:marBottom w:val="0"/>
      <w:divBdr>
        <w:top w:val="none" w:sz="0" w:space="0" w:color="auto"/>
        <w:left w:val="none" w:sz="0" w:space="0" w:color="auto"/>
        <w:bottom w:val="none" w:sz="0" w:space="0" w:color="auto"/>
        <w:right w:val="none" w:sz="0" w:space="0" w:color="auto"/>
      </w:divBdr>
    </w:div>
    <w:div w:id="1472018555">
      <w:bodyDiv w:val="1"/>
      <w:marLeft w:val="0"/>
      <w:marRight w:val="0"/>
      <w:marTop w:val="0"/>
      <w:marBottom w:val="0"/>
      <w:divBdr>
        <w:top w:val="none" w:sz="0" w:space="0" w:color="auto"/>
        <w:left w:val="none" w:sz="0" w:space="0" w:color="auto"/>
        <w:bottom w:val="none" w:sz="0" w:space="0" w:color="auto"/>
        <w:right w:val="none" w:sz="0" w:space="0" w:color="auto"/>
      </w:divBdr>
    </w:div>
    <w:div w:id="1727559030">
      <w:bodyDiv w:val="1"/>
      <w:marLeft w:val="0"/>
      <w:marRight w:val="0"/>
      <w:marTop w:val="0"/>
      <w:marBottom w:val="0"/>
      <w:divBdr>
        <w:top w:val="none" w:sz="0" w:space="0" w:color="auto"/>
        <w:left w:val="none" w:sz="0" w:space="0" w:color="auto"/>
        <w:bottom w:val="none" w:sz="0" w:space="0" w:color="auto"/>
        <w:right w:val="none" w:sz="0" w:space="0" w:color="auto"/>
      </w:divBdr>
    </w:div>
    <w:div w:id="1911572936">
      <w:bodyDiv w:val="1"/>
      <w:marLeft w:val="0"/>
      <w:marRight w:val="0"/>
      <w:marTop w:val="0"/>
      <w:marBottom w:val="0"/>
      <w:divBdr>
        <w:top w:val="none" w:sz="0" w:space="0" w:color="auto"/>
        <w:left w:val="none" w:sz="0" w:space="0" w:color="auto"/>
        <w:bottom w:val="none" w:sz="0" w:space="0" w:color="auto"/>
        <w:right w:val="none" w:sz="0" w:space="0" w:color="auto"/>
      </w:divBdr>
    </w:div>
    <w:div w:id="1917855538">
      <w:bodyDiv w:val="1"/>
      <w:marLeft w:val="0"/>
      <w:marRight w:val="0"/>
      <w:marTop w:val="0"/>
      <w:marBottom w:val="0"/>
      <w:divBdr>
        <w:top w:val="none" w:sz="0" w:space="0" w:color="auto"/>
        <w:left w:val="none" w:sz="0" w:space="0" w:color="auto"/>
        <w:bottom w:val="none" w:sz="0" w:space="0" w:color="auto"/>
        <w:right w:val="none" w:sz="0" w:space="0" w:color="auto"/>
      </w:divBdr>
    </w:div>
    <w:div w:id="19387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ba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cbank.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3AF4-A23A-4E8B-8EDE-6E33D947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2722</Words>
  <Characters>15517</Characters>
  <Application>Microsoft Office Word</Application>
  <DocSecurity>0</DocSecurity>
  <Lines>129</Lines>
  <Paragraphs>36</Paragraphs>
  <ScaleCrop>false</ScaleCrop>
  <Company>Microsoft</Company>
  <LinksUpToDate>false</LinksUpToDate>
  <CharactersWithSpaces>18203</CharactersWithSpaces>
  <SharedDoc>false</SharedDoc>
  <HLinks>
    <vt:vector size="12" baseType="variant">
      <vt:variant>
        <vt:i4>2818159</vt:i4>
      </vt:variant>
      <vt:variant>
        <vt:i4>3</vt:i4>
      </vt:variant>
      <vt:variant>
        <vt:i4>0</vt:i4>
      </vt:variant>
      <vt:variant>
        <vt:i4>5</vt:i4>
      </vt:variant>
      <vt:variant>
        <vt:lpwstr>http://www.grcbank.com/</vt:lpwstr>
      </vt:variant>
      <vt:variant>
        <vt:lpwstr/>
      </vt:variant>
      <vt:variant>
        <vt:i4>2818159</vt:i4>
      </vt:variant>
      <vt:variant>
        <vt:i4>0</vt:i4>
      </vt:variant>
      <vt:variant>
        <vt:i4>0</vt:i4>
      </vt:variant>
      <vt:variant>
        <vt:i4>5</vt:i4>
      </vt:variant>
      <vt:variant>
        <vt:lpwstr>http://www.grcbank.com/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拍子达</dc:creator>
  <cp:lastModifiedBy>ᡘͼ㸀ऌ㶀ऌa</cp:lastModifiedBy>
  <cp:revision>11</cp:revision>
  <cp:lastPrinted>2018-04-18T07:31:00Z</cp:lastPrinted>
  <dcterms:created xsi:type="dcterms:W3CDTF">2021-08-23T07:19:00Z</dcterms:created>
  <dcterms:modified xsi:type="dcterms:W3CDTF">2021-10-12T01:00:00Z</dcterms:modified>
</cp:coreProperties>
</file>